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9B" w:rsidRPr="00CC4B9B" w:rsidRDefault="00CC4B9B" w:rsidP="00CC4B9B">
      <w:pPr>
        <w:jc w:val="both"/>
        <w:rPr>
          <w:rFonts w:cs="Times New Roman"/>
          <w:b/>
          <w:i/>
          <w:szCs w:val="28"/>
        </w:rPr>
      </w:pPr>
      <w:r w:rsidRPr="00CC4B9B">
        <w:rPr>
          <w:rFonts w:cs="Times New Roman"/>
          <w:b/>
          <w:i/>
          <w:szCs w:val="28"/>
        </w:rPr>
        <w:t>Bài số 1:</w:t>
      </w:r>
    </w:p>
    <w:p w:rsidR="00FB50B2" w:rsidRPr="00F5589A" w:rsidRDefault="005D1B20" w:rsidP="0075393A">
      <w:pPr>
        <w:jc w:val="center"/>
        <w:rPr>
          <w:rFonts w:cs="Times New Roman"/>
          <w:b/>
          <w:szCs w:val="28"/>
        </w:rPr>
      </w:pPr>
      <w:r w:rsidRPr="00F5589A">
        <w:rPr>
          <w:rFonts w:cs="Times New Roman"/>
          <w:b/>
          <w:szCs w:val="28"/>
        </w:rPr>
        <w:t>MỘT SỐ VẤN ĐỀ ĐẢM BẢO Y TẾ CHO THẢM HỌA HÀNG KHÔNG</w:t>
      </w:r>
    </w:p>
    <w:p w:rsidR="00257A7C" w:rsidRPr="00CC4B9B" w:rsidRDefault="00257A7C" w:rsidP="0075393A">
      <w:pPr>
        <w:jc w:val="right"/>
        <w:rPr>
          <w:rFonts w:cs="Times New Roman"/>
          <w:b/>
          <w:szCs w:val="28"/>
          <w:vertAlign w:val="superscript"/>
        </w:rPr>
      </w:pPr>
      <w:r w:rsidRPr="00257A7C">
        <w:rPr>
          <w:rFonts w:cs="Times New Roman"/>
          <w:b/>
          <w:szCs w:val="28"/>
        </w:rPr>
        <w:t>PGS.TS NGUYỄN TÙNG LINH</w:t>
      </w:r>
      <w:r w:rsidR="005D1B20" w:rsidRPr="00257A7C">
        <w:rPr>
          <w:rStyle w:val="CommentReference"/>
          <w:rFonts w:cs="Times New Roman"/>
          <w:b/>
          <w:sz w:val="28"/>
          <w:szCs w:val="28"/>
        </w:rPr>
        <w:commentReference w:id="0"/>
      </w:r>
      <w:r w:rsidR="00CC4B9B">
        <w:rPr>
          <w:rFonts w:cs="Times New Roman"/>
          <w:b/>
          <w:szCs w:val="28"/>
          <w:vertAlign w:val="superscript"/>
        </w:rPr>
        <w:t>1</w:t>
      </w:r>
    </w:p>
    <w:p w:rsidR="005D1B20" w:rsidRPr="00257A7C" w:rsidRDefault="00257A7C" w:rsidP="0075393A">
      <w:pPr>
        <w:jc w:val="right"/>
        <w:rPr>
          <w:rFonts w:cs="Times New Roman"/>
          <w:b/>
          <w:szCs w:val="28"/>
        </w:rPr>
      </w:pPr>
      <w:r w:rsidRPr="00257A7C">
        <w:rPr>
          <w:rFonts w:cs="Times New Roman"/>
          <w:b/>
          <w:szCs w:val="28"/>
        </w:rPr>
        <w:t>BSCK II HOÀNG PHÚC THÀNH</w:t>
      </w:r>
      <w:r w:rsidR="00CC4B9B">
        <w:rPr>
          <w:rFonts w:cs="Times New Roman"/>
          <w:b/>
          <w:szCs w:val="28"/>
          <w:vertAlign w:val="superscript"/>
        </w:rPr>
        <w:t>2</w:t>
      </w:r>
      <w:r w:rsidR="005D1B20" w:rsidRPr="00257A7C">
        <w:rPr>
          <w:rFonts w:cs="Times New Roman"/>
          <w:b/>
          <w:szCs w:val="28"/>
        </w:rPr>
        <w:t xml:space="preserve">, </w:t>
      </w:r>
      <w:r w:rsidRPr="00257A7C">
        <w:rPr>
          <w:rFonts w:cs="Times New Roman"/>
          <w:b/>
          <w:szCs w:val="28"/>
        </w:rPr>
        <w:t>Ths. NGUYỄN HẢI ĐĂNG</w:t>
      </w:r>
      <w:r w:rsidR="00BC4ADC" w:rsidRPr="00257A7C">
        <w:rPr>
          <w:rFonts w:cs="Times New Roman"/>
          <w:b/>
          <w:szCs w:val="28"/>
          <w:vertAlign w:val="superscript"/>
        </w:rPr>
        <w:t>2</w:t>
      </w:r>
    </w:p>
    <w:p w:rsidR="00BC4ADC" w:rsidRPr="00257A7C" w:rsidRDefault="00257A7C" w:rsidP="00257A7C">
      <w:pPr>
        <w:ind w:firstLine="567"/>
        <w:jc w:val="right"/>
        <w:rPr>
          <w:rFonts w:cs="Times New Roman"/>
          <w:b/>
          <w:i/>
          <w:sz w:val="24"/>
          <w:szCs w:val="24"/>
        </w:rPr>
      </w:pPr>
      <w:r w:rsidRPr="00257A7C">
        <w:rPr>
          <w:rFonts w:cs="Times New Roman"/>
          <w:b/>
          <w:i/>
          <w:sz w:val="24"/>
          <w:szCs w:val="24"/>
          <w:vertAlign w:val="superscript"/>
        </w:rPr>
        <w:t>1</w:t>
      </w:r>
      <w:r w:rsidRPr="00257A7C">
        <w:rPr>
          <w:rFonts w:cs="Times New Roman"/>
          <w:b/>
          <w:i/>
          <w:sz w:val="24"/>
          <w:szCs w:val="24"/>
        </w:rPr>
        <w:t xml:space="preserve">Học viện Quân y, </w:t>
      </w:r>
      <w:r w:rsidRPr="00257A7C">
        <w:rPr>
          <w:rFonts w:cs="Times New Roman"/>
          <w:b/>
          <w:i/>
          <w:sz w:val="24"/>
          <w:szCs w:val="24"/>
          <w:vertAlign w:val="superscript"/>
        </w:rPr>
        <w:t>2</w:t>
      </w:r>
      <w:r w:rsidRPr="00257A7C">
        <w:rPr>
          <w:rFonts w:cs="Times New Roman"/>
          <w:b/>
          <w:i/>
          <w:sz w:val="24"/>
          <w:szCs w:val="24"/>
        </w:rPr>
        <w:t>Viện Y học Phòng không-Không quân</w:t>
      </w:r>
    </w:p>
    <w:p w:rsidR="00C55E27" w:rsidRDefault="00670944" w:rsidP="0075393A">
      <w:pPr>
        <w:ind w:firstLine="567"/>
        <w:jc w:val="both"/>
        <w:rPr>
          <w:rFonts w:cs="Times New Roman"/>
          <w:b/>
          <w:szCs w:val="28"/>
        </w:rPr>
      </w:pPr>
      <w:r>
        <w:rPr>
          <w:rFonts w:cs="Times New Roman"/>
          <w:b/>
          <w:szCs w:val="28"/>
        </w:rPr>
        <w:t xml:space="preserve">TÓM TẮT: </w:t>
      </w:r>
    </w:p>
    <w:p w:rsidR="00670944" w:rsidRDefault="00670944" w:rsidP="0075393A">
      <w:pPr>
        <w:ind w:firstLine="567"/>
        <w:jc w:val="both"/>
        <w:rPr>
          <w:rFonts w:cs="Times New Roman"/>
          <w:i/>
          <w:szCs w:val="28"/>
        </w:rPr>
      </w:pPr>
      <w:r w:rsidRPr="00C55E27">
        <w:rPr>
          <w:rFonts w:cs="Times New Roman"/>
          <w:i/>
          <w:szCs w:val="28"/>
        </w:rPr>
        <w:t xml:space="preserve">Tình hình </w:t>
      </w:r>
      <w:r w:rsidR="00C730F4" w:rsidRPr="00C55E27">
        <w:rPr>
          <w:rFonts w:cs="Times New Roman"/>
          <w:i/>
          <w:szCs w:val="28"/>
        </w:rPr>
        <w:t>thảm họa (trong đó có thảm họa hàng không – TTHK) trên thế giới và Việt Nam vẫn tiếp tục xảy ra và diễn biến khó lường, gây ảnh hưởng nghiêm trọng đến đời sống và tâm lý của các thành phần dân cư và hoạt động của nhà khai thác hàng không. Tuy có một số đặc điểm</w:t>
      </w:r>
      <w:r w:rsidR="00974968" w:rsidRPr="00C55E27">
        <w:rPr>
          <w:rFonts w:cs="Times New Roman"/>
          <w:i/>
          <w:szCs w:val="28"/>
        </w:rPr>
        <w:t xml:space="preserve"> khác biệt, song đảm bảo y tế cho THHK cũng tuân theo nguyên tắc đáp ứng y tế cho các thảm họa khác, theo từng giai đoạn của vòng thảm họa, gồm: Chuẩn bị ứng phó, đáp ứng khi xảy ra thảm họa</w:t>
      </w:r>
      <w:r w:rsidR="00F43B7B" w:rsidRPr="00C55E27">
        <w:rPr>
          <w:rFonts w:cs="Times New Roman"/>
          <w:i/>
          <w:szCs w:val="28"/>
        </w:rPr>
        <w:t>, phục hồi sau thảm họa và các biện pháp giảm nhẹ/dự phòng.</w:t>
      </w:r>
    </w:p>
    <w:p w:rsidR="00BC4ADC" w:rsidRPr="005C3881" w:rsidRDefault="00BC4ADC" w:rsidP="0075393A">
      <w:pPr>
        <w:ind w:firstLine="567"/>
        <w:jc w:val="both"/>
        <w:rPr>
          <w:rFonts w:cs="Times New Roman"/>
          <w:b/>
          <w:szCs w:val="28"/>
        </w:rPr>
      </w:pPr>
      <w:r w:rsidRPr="005C3881">
        <w:rPr>
          <w:rFonts w:cs="Times New Roman"/>
          <w:b/>
          <w:szCs w:val="28"/>
        </w:rPr>
        <w:t xml:space="preserve">I. </w:t>
      </w:r>
      <w:r w:rsidR="00E765BC">
        <w:rPr>
          <w:rFonts w:cs="Times New Roman"/>
          <w:b/>
          <w:szCs w:val="28"/>
        </w:rPr>
        <w:t>NHỮNG VẤN ĐỀ CHUNG</w:t>
      </w:r>
      <w:r w:rsidRPr="005C3881">
        <w:rPr>
          <w:rFonts w:cs="Times New Roman"/>
          <w:b/>
          <w:szCs w:val="28"/>
        </w:rPr>
        <w:t>:</w:t>
      </w:r>
    </w:p>
    <w:p w:rsidR="005C3881" w:rsidRDefault="005C3881" w:rsidP="0075393A">
      <w:pPr>
        <w:ind w:firstLine="567"/>
        <w:jc w:val="both"/>
        <w:rPr>
          <w:rFonts w:cs="Times New Roman"/>
          <w:szCs w:val="28"/>
        </w:rPr>
      </w:pPr>
      <w:r>
        <w:rPr>
          <w:rFonts w:cs="Times New Roman"/>
          <w:szCs w:val="28"/>
        </w:rPr>
        <w:t xml:space="preserve">Khái niệm về thảm họa và y tế đáp ứng cho thảm họa được bàn luận </w:t>
      </w:r>
      <w:r w:rsidR="00306588">
        <w:rPr>
          <w:rFonts w:cs="Times New Roman"/>
          <w:szCs w:val="28"/>
        </w:rPr>
        <w:t xml:space="preserve">với nhiều quan niệm khác nhau dựa trên các sự kiện có ảnh hưởng </w:t>
      </w:r>
      <w:r w:rsidR="008A2EB5">
        <w:rPr>
          <w:rFonts w:cs="Times New Roman"/>
          <w:szCs w:val="28"/>
        </w:rPr>
        <w:t>lớn</w:t>
      </w:r>
      <w:r w:rsidR="00403DC2">
        <w:rPr>
          <w:rFonts w:cs="Times New Roman"/>
          <w:szCs w:val="28"/>
        </w:rPr>
        <w:t xml:space="preserve"> như vụ sóng thần Ấn Độ Dương </w:t>
      </w:r>
      <w:r w:rsidR="003E4D28">
        <w:rPr>
          <w:rFonts w:cs="Times New Roman"/>
          <w:szCs w:val="28"/>
        </w:rPr>
        <w:t>(</w:t>
      </w:r>
      <w:r w:rsidR="00403DC2">
        <w:rPr>
          <w:rFonts w:cs="Times New Roman"/>
          <w:szCs w:val="28"/>
        </w:rPr>
        <w:t>2004</w:t>
      </w:r>
      <w:r w:rsidR="003E4D28">
        <w:rPr>
          <w:rFonts w:cs="Times New Roman"/>
          <w:szCs w:val="28"/>
        </w:rPr>
        <w:t>)</w:t>
      </w:r>
      <w:r w:rsidR="00403DC2">
        <w:rPr>
          <w:rFonts w:cs="Times New Roman"/>
          <w:szCs w:val="28"/>
        </w:rPr>
        <w:t>, động đất tại Hait</w:t>
      </w:r>
      <w:r w:rsidR="003E4D28">
        <w:rPr>
          <w:rFonts w:cs="Times New Roman"/>
          <w:szCs w:val="28"/>
        </w:rPr>
        <w:t>i (2010) gây thương vong hơn 200.000 người</w:t>
      </w:r>
      <w:r w:rsidR="00380C79">
        <w:rPr>
          <w:rFonts w:cs="Times New Roman"/>
          <w:szCs w:val="28"/>
        </w:rPr>
        <w:t xml:space="preserve"> và tổn thất nặng nề cơ sở hạ tầng. Tuy nhiên, cũng có những sự kiện gây thiệt hại lớn về mặt vật chất so</w:t>
      </w:r>
      <w:r w:rsidR="00533385">
        <w:rPr>
          <w:rFonts w:cs="Times New Roman"/>
          <w:szCs w:val="28"/>
        </w:rPr>
        <w:t xml:space="preserve">ng số lượng người thương vong thấp cũng được xếp vào danh sách </w:t>
      </w:r>
      <w:r w:rsidR="00D647C6">
        <w:rPr>
          <w:rFonts w:cs="Times New Roman"/>
          <w:szCs w:val="28"/>
        </w:rPr>
        <w:t xml:space="preserve">thảm họa, như vụ lũ lụt ở Peru (2015) có 20 người tử vong hay </w:t>
      </w:r>
      <w:r w:rsidR="006666FE">
        <w:rPr>
          <w:rFonts w:cs="Times New Roman"/>
          <w:szCs w:val="28"/>
        </w:rPr>
        <w:t>bão nhiệt đới ở Madagasca (2015) làm 14 người tử vong.</w:t>
      </w:r>
    </w:p>
    <w:p w:rsidR="00BC4ADC" w:rsidRPr="000D268B" w:rsidRDefault="00AA2DFE" w:rsidP="0075393A">
      <w:pPr>
        <w:ind w:firstLine="567"/>
        <w:jc w:val="both"/>
        <w:rPr>
          <w:rFonts w:eastAsia="Times New Roman" w:cs="Times New Roman"/>
          <w:bCs/>
          <w:szCs w:val="28"/>
        </w:rPr>
      </w:pPr>
      <w:r w:rsidRPr="000D268B">
        <w:rPr>
          <w:rFonts w:cs="Times New Roman"/>
          <w:szCs w:val="28"/>
        </w:rPr>
        <w:t xml:space="preserve">Cơ quan </w:t>
      </w:r>
      <w:r w:rsidR="00951ABF" w:rsidRPr="000D268B">
        <w:rPr>
          <w:rFonts w:cs="Times New Roman"/>
          <w:szCs w:val="28"/>
        </w:rPr>
        <w:t>Chiến lược quốc tế của Liên hợp quốc về giảm nhẹ thiên tai (</w:t>
      </w:r>
      <w:r w:rsidR="00513B3F" w:rsidRPr="000D268B">
        <w:rPr>
          <w:rFonts w:cs="Times New Roman"/>
          <w:szCs w:val="28"/>
        </w:rPr>
        <w:t xml:space="preserve">UNISDR) và Tổ chức Y tế thế giới (WHO) định nghĩa: </w:t>
      </w:r>
      <w:r w:rsidR="00EF5DF7" w:rsidRPr="000D268B">
        <w:rPr>
          <w:rFonts w:cs="Times New Roman"/>
          <w:szCs w:val="28"/>
        </w:rPr>
        <w:t>“</w:t>
      </w:r>
      <w:r w:rsidR="00EF5DF7" w:rsidRPr="000D268B">
        <w:rPr>
          <w:rFonts w:eastAsia="Times New Roman" w:cs="Times New Roman"/>
          <w:bCs/>
          <w:szCs w:val="28"/>
        </w:rPr>
        <w:t>Thảm họa là một sự cố xảy ra làm rối loạn các điều kiện sống bình thường và gây ra sự đau khổ, tổn thất vượt quá mức khả năng tự khắc phục của cộng đồng bị ảnh hưởng bởi thảm họa”</w:t>
      </w:r>
      <w:r w:rsidR="00CB4361" w:rsidRPr="000D268B">
        <w:rPr>
          <w:rFonts w:eastAsia="Times New Roman" w:cs="Times New Roman"/>
          <w:bCs/>
          <w:szCs w:val="28"/>
        </w:rPr>
        <w:t xml:space="preserve">. Với định nghĩa này, có thể hiểu được </w:t>
      </w:r>
      <w:r w:rsidR="00CF39D7" w:rsidRPr="000D268B">
        <w:rPr>
          <w:rFonts w:eastAsia="Times New Roman" w:cs="Times New Roman"/>
          <w:bCs/>
          <w:szCs w:val="28"/>
        </w:rPr>
        <w:t>dù chỉ với mức độ thương vong thấp, song sự kiện cũng được xếp loại là thảm họa, do yếu tố mất khả</w:t>
      </w:r>
      <w:r w:rsidR="00EF71BB" w:rsidRPr="000D268B">
        <w:rPr>
          <w:rFonts w:eastAsia="Times New Roman" w:cs="Times New Roman"/>
          <w:bCs/>
          <w:szCs w:val="28"/>
        </w:rPr>
        <w:t xml:space="preserve"> năng</w:t>
      </w:r>
      <w:r w:rsidR="00CF39D7" w:rsidRPr="000D268B">
        <w:rPr>
          <w:rFonts w:eastAsia="Times New Roman" w:cs="Times New Roman"/>
          <w:bCs/>
          <w:szCs w:val="28"/>
        </w:rPr>
        <w:t xml:space="preserve"> đáp ứng tại chỗ của cộng đồng trong việc cứu chữa và phục hồi sau thảm họa nếu không có sư trợ giúp</w:t>
      </w:r>
      <w:r w:rsidR="00D83BDA" w:rsidRPr="000D268B">
        <w:rPr>
          <w:rFonts w:eastAsia="Times New Roman" w:cs="Times New Roman"/>
          <w:bCs/>
          <w:szCs w:val="28"/>
        </w:rPr>
        <w:t xml:space="preserve"> của bên ngoài.</w:t>
      </w:r>
      <w:r w:rsidR="00A14CEC">
        <w:rPr>
          <w:rFonts w:eastAsia="Times New Roman" w:cs="Times New Roman"/>
          <w:bCs/>
          <w:szCs w:val="28"/>
        </w:rPr>
        <w:t>[1],[2]</w:t>
      </w:r>
    </w:p>
    <w:p w:rsidR="00EF5DF7" w:rsidRPr="000D268B" w:rsidRDefault="000D58B6" w:rsidP="0075393A">
      <w:pPr>
        <w:ind w:firstLine="567"/>
        <w:jc w:val="both"/>
        <w:rPr>
          <w:rFonts w:cs="Times New Roman"/>
          <w:szCs w:val="28"/>
        </w:rPr>
      </w:pPr>
      <w:r>
        <w:rPr>
          <w:rFonts w:cs="Times New Roman"/>
          <w:szCs w:val="28"/>
        </w:rPr>
        <w:t>Do tính chất không dự báo trước</w:t>
      </w:r>
      <w:r w:rsidR="00942D51">
        <w:rPr>
          <w:rFonts w:cs="Times New Roman"/>
          <w:szCs w:val="28"/>
        </w:rPr>
        <w:t xml:space="preserve"> về không gian và thời gian, đáp ứng y tế cho thảm họa dựa trên nguyên tắc dự phòng về con người, cơ sở vật chất</w:t>
      </w:r>
      <w:r w:rsidR="007B5E6F">
        <w:rPr>
          <w:rFonts w:cs="Times New Roman"/>
          <w:szCs w:val="28"/>
        </w:rPr>
        <w:t>,</w:t>
      </w:r>
      <w:r w:rsidR="001224F3">
        <w:rPr>
          <w:rFonts w:cs="Times New Roman"/>
          <w:szCs w:val="28"/>
        </w:rPr>
        <w:t xml:space="preserve"> đồng thời</w:t>
      </w:r>
      <w:r w:rsidR="007B5E6F">
        <w:rPr>
          <w:rFonts w:cs="Times New Roman"/>
          <w:szCs w:val="28"/>
        </w:rPr>
        <w:t xml:space="preserve"> kiểm soát </w:t>
      </w:r>
      <w:r w:rsidR="00F5589A">
        <w:rPr>
          <w:rFonts w:cs="Times New Roman"/>
          <w:szCs w:val="28"/>
        </w:rPr>
        <w:t>các</w:t>
      </w:r>
      <w:r w:rsidR="007B5E6F">
        <w:rPr>
          <w:rFonts w:cs="Times New Roman"/>
          <w:szCs w:val="28"/>
        </w:rPr>
        <w:t xml:space="preserve"> yếu tố rủi ro và nguy cơ</w:t>
      </w:r>
      <w:r w:rsidR="001224F3">
        <w:rPr>
          <w:rFonts w:cs="Times New Roman"/>
          <w:szCs w:val="28"/>
        </w:rPr>
        <w:t xml:space="preserve">. </w:t>
      </w:r>
      <w:r w:rsidR="008E68A0">
        <w:rPr>
          <w:rFonts w:cs="Times New Roman"/>
          <w:szCs w:val="28"/>
        </w:rPr>
        <w:t xml:space="preserve">Xây dựng các biện pháp đảo bảo y tế căn cứ trên sơ đồ vòng thảm họa, </w:t>
      </w:r>
      <w:r w:rsidR="00927FA8">
        <w:rPr>
          <w:rFonts w:cs="Times New Roman"/>
          <w:szCs w:val="28"/>
        </w:rPr>
        <w:t xml:space="preserve">gồm 04 giai đoạn chính: Chuẩn bị ứng phó với thảm họa, đáp ứng khi thảm họa xảy ra, phục hồi sau thảm họa và </w:t>
      </w:r>
      <w:r w:rsidR="00767929">
        <w:rPr>
          <w:rFonts w:cs="Times New Roman"/>
          <w:szCs w:val="28"/>
        </w:rPr>
        <w:t>các biện pháp giảm nhẹ/dự phòng.</w:t>
      </w:r>
      <w:r w:rsidR="00A14CEC">
        <w:rPr>
          <w:rFonts w:cs="Times New Roman"/>
          <w:szCs w:val="28"/>
        </w:rPr>
        <w:t>[2]</w:t>
      </w:r>
    </w:p>
    <w:p w:rsidR="00065A92" w:rsidRPr="00EF5DF7" w:rsidRDefault="00A11B21" w:rsidP="0075393A">
      <w:pPr>
        <w:ind w:firstLine="567"/>
        <w:jc w:val="center"/>
        <w:rPr>
          <w:rFonts w:cs="Times New Roman"/>
          <w:szCs w:val="28"/>
        </w:rPr>
      </w:pPr>
      <w:r>
        <w:rPr>
          <w:rFonts w:cs="Times New Roman"/>
          <w:noProof/>
          <w:szCs w:val="28"/>
        </w:rPr>
        <w:lastRenderedPageBreak/>
        <w:drawing>
          <wp:inline distT="0" distB="0" distL="0" distR="0">
            <wp:extent cx="2762250" cy="194104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òng thảm họa.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8533" cy="1945456"/>
                    </a:xfrm>
                    <a:prstGeom prst="rect">
                      <a:avLst/>
                    </a:prstGeom>
                  </pic:spPr>
                </pic:pic>
              </a:graphicData>
            </a:graphic>
          </wp:inline>
        </w:drawing>
      </w:r>
    </w:p>
    <w:p w:rsidR="00065A92" w:rsidRDefault="00065A92" w:rsidP="0075393A">
      <w:pPr>
        <w:ind w:firstLine="567"/>
        <w:jc w:val="center"/>
        <w:rPr>
          <w:rFonts w:cs="Times New Roman"/>
          <w:szCs w:val="28"/>
        </w:rPr>
      </w:pPr>
      <w:r w:rsidRPr="00EF5DF7">
        <w:rPr>
          <w:rFonts w:cs="Times New Roman"/>
          <w:szCs w:val="28"/>
        </w:rPr>
        <w:t>Hình 1: Vòng thảm họa (Disaster</w:t>
      </w:r>
      <w:r w:rsidR="0070227B" w:rsidRPr="00EF5DF7">
        <w:rPr>
          <w:rFonts w:cs="Times New Roman"/>
          <w:szCs w:val="28"/>
        </w:rPr>
        <w:t xml:space="preserve"> Cycle)</w:t>
      </w:r>
    </w:p>
    <w:p w:rsidR="00767929" w:rsidRDefault="00F5589A" w:rsidP="0075393A">
      <w:pPr>
        <w:ind w:firstLine="567"/>
        <w:jc w:val="both"/>
        <w:rPr>
          <w:rFonts w:eastAsia="Times New Roman" w:cs="Times New Roman"/>
          <w:color w:val="333333"/>
          <w:szCs w:val="28"/>
        </w:rPr>
      </w:pPr>
      <w:r w:rsidRPr="00F5589A">
        <w:rPr>
          <w:rFonts w:eastAsia="Times New Roman" w:cs="Times New Roman"/>
          <w:color w:val="333333"/>
          <w:szCs w:val="28"/>
        </w:rPr>
        <w:t>Theo Trung tâm Nghiên cứu Dịch tễ học về thảm họa của LHQ, có 4 nhóm nguyên nhân gây ra thảm họa, là: thiên nhiên (do các yếu tố sinh học, địa lý, thủy văn và biến đổi khí hậu…); yếu tố công nghệ, kỹ thuật (các vụ nổ lớn, các sự cố tai nạn về phóng xạ-hạt nhân, rò rỉ phóng thích hóa chất độc hại, sự cố tràn dầu, các vụ sụp đổ công trình và tai nạn giao thông nghiêm trọng…); yếu tố xã hội (các vụ khủng bố đông người, bạo loạn hoặc tình trạng cuồng loạn của một cộng đồng cư dân…); tình trạng khủng hoảng, khẩn cấp của một cộng đồng hoặc một quốc gia (chính quyền bị mất sự quản lý, kiểm soát toàn bộ hoặc một phần do sự xung đột từ bên trong hay bên ngoài; bạo lực lan rộng làm chết nhiều người; nhân quyền bị vi phạm; nhiều người bị mất nơi sinh sống; trật tự xã hội và nền kinh tế bị phá vỡ, suy thoái…).</w:t>
      </w:r>
      <w:r w:rsidR="00A14CEC">
        <w:rPr>
          <w:rFonts w:eastAsia="Times New Roman" w:cs="Times New Roman"/>
          <w:color w:val="333333"/>
          <w:szCs w:val="28"/>
        </w:rPr>
        <w:t>[2]</w:t>
      </w:r>
    </w:p>
    <w:p w:rsidR="00F5589A" w:rsidRDefault="00F5589A" w:rsidP="0075393A">
      <w:pPr>
        <w:ind w:firstLine="567"/>
        <w:jc w:val="both"/>
        <w:rPr>
          <w:rFonts w:cs="Times New Roman"/>
          <w:szCs w:val="28"/>
        </w:rPr>
      </w:pPr>
      <w:r>
        <w:rPr>
          <w:rFonts w:cs="Times New Roman"/>
          <w:szCs w:val="28"/>
        </w:rPr>
        <w:t>Thảm họa hàng không</w:t>
      </w:r>
      <w:r w:rsidR="00C63FF9">
        <w:rPr>
          <w:rFonts w:cs="Times New Roman"/>
          <w:szCs w:val="28"/>
        </w:rPr>
        <w:t xml:space="preserve"> được xác định thuộc nhóm thảm họa do yếu tố công nghệ, kỹ thuật</w:t>
      </w:r>
      <w:r w:rsidR="00EE781D">
        <w:rPr>
          <w:rFonts w:cs="Times New Roman"/>
          <w:szCs w:val="28"/>
        </w:rPr>
        <w:t xml:space="preserve">, </w:t>
      </w:r>
      <w:r w:rsidR="00581B96">
        <w:rPr>
          <w:rFonts w:cs="Times New Roman"/>
          <w:szCs w:val="28"/>
        </w:rPr>
        <w:t>với những đặc điểm chung của thảm họa, đồng thời có những đặc điểm riêng</w:t>
      </w:r>
      <w:r w:rsidR="00E765BC">
        <w:rPr>
          <w:rFonts w:cs="Times New Roman"/>
          <w:szCs w:val="28"/>
        </w:rPr>
        <w:t xml:space="preserve"> như tần suất xảy ra rất thấp, </w:t>
      </w:r>
      <w:r w:rsidR="00704292">
        <w:rPr>
          <w:rFonts w:cs="Times New Roman"/>
          <w:szCs w:val="28"/>
        </w:rPr>
        <w:t xml:space="preserve">mức độ tàn phá lớn, tỷ lệ thương vong </w:t>
      </w:r>
      <w:r w:rsidR="004C03AC">
        <w:rPr>
          <w:rFonts w:cs="Times New Roman"/>
          <w:szCs w:val="28"/>
        </w:rPr>
        <w:t xml:space="preserve">rất </w:t>
      </w:r>
      <w:r w:rsidR="00704292">
        <w:rPr>
          <w:rFonts w:cs="Times New Roman"/>
          <w:szCs w:val="28"/>
        </w:rPr>
        <w:t xml:space="preserve">cao, mức độ ảnh hưởng </w:t>
      </w:r>
      <w:r w:rsidR="004C03AC">
        <w:rPr>
          <w:rFonts w:cs="Times New Roman"/>
          <w:szCs w:val="28"/>
        </w:rPr>
        <w:t>xã hội</w:t>
      </w:r>
      <w:r w:rsidR="00BB2693">
        <w:rPr>
          <w:rFonts w:cs="Times New Roman"/>
          <w:szCs w:val="28"/>
        </w:rPr>
        <w:t xml:space="preserve">, </w:t>
      </w:r>
      <w:r w:rsidR="004C03AC">
        <w:rPr>
          <w:rFonts w:cs="Times New Roman"/>
          <w:szCs w:val="28"/>
        </w:rPr>
        <w:t>tâm lý nặng nề</w:t>
      </w:r>
      <w:r w:rsidR="00BE6945">
        <w:rPr>
          <w:rFonts w:cs="Times New Roman"/>
          <w:szCs w:val="28"/>
        </w:rPr>
        <w:t xml:space="preserve"> và có thể liên quan đến các hoạt động khủng bố, xung đột và chiến tranh</w:t>
      </w:r>
      <w:r w:rsidR="004C03AC">
        <w:rPr>
          <w:rFonts w:cs="Times New Roman"/>
          <w:szCs w:val="28"/>
        </w:rPr>
        <w:t xml:space="preserve">. Đáp ứng y tế cho thảm họa hàng không </w:t>
      </w:r>
      <w:r w:rsidR="00B954C7">
        <w:rPr>
          <w:rFonts w:cs="Times New Roman"/>
          <w:szCs w:val="28"/>
        </w:rPr>
        <w:t>có sự khác biệt so với các loại hình thảm họa khác.</w:t>
      </w:r>
      <w:r w:rsidR="00E967A6">
        <w:rPr>
          <w:rFonts w:cs="Times New Roman"/>
          <w:szCs w:val="28"/>
        </w:rPr>
        <w:t>[3]</w:t>
      </w:r>
    </w:p>
    <w:p w:rsidR="00B954C7" w:rsidRDefault="003A034A" w:rsidP="0075393A">
      <w:pPr>
        <w:ind w:firstLine="567"/>
        <w:jc w:val="both"/>
        <w:rPr>
          <w:rFonts w:cs="Times New Roman"/>
          <w:szCs w:val="28"/>
        </w:rPr>
      </w:pPr>
      <w:r>
        <w:rPr>
          <w:rFonts w:cs="Times New Roman"/>
          <w:szCs w:val="28"/>
        </w:rPr>
        <w:t>Báo cáo này đề cập các đặc điểm của thảm họa hàng không và phương thức đáp ứng y tế cho thảm họa hàng không</w:t>
      </w:r>
      <w:r w:rsidR="00BB2693">
        <w:rPr>
          <w:rFonts w:cs="Times New Roman"/>
          <w:szCs w:val="28"/>
        </w:rPr>
        <w:t xml:space="preserve"> trong điều kiện hiện nay.</w:t>
      </w:r>
    </w:p>
    <w:p w:rsidR="00BB2693" w:rsidRPr="000A3410" w:rsidRDefault="00F50BF9" w:rsidP="0075393A">
      <w:pPr>
        <w:ind w:firstLine="567"/>
        <w:jc w:val="both"/>
        <w:rPr>
          <w:rFonts w:cs="Times New Roman"/>
          <w:b/>
          <w:szCs w:val="28"/>
        </w:rPr>
      </w:pPr>
      <w:r w:rsidRPr="000A3410">
        <w:rPr>
          <w:rFonts w:cs="Times New Roman"/>
          <w:b/>
          <w:szCs w:val="28"/>
        </w:rPr>
        <w:t>II. DỊCH TẾ HỌC CỦA THẢM HỌA HÀNG KHÔNG</w:t>
      </w:r>
    </w:p>
    <w:p w:rsidR="000C698D" w:rsidRDefault="000C698D" w:rsidP="0075393A">
      <w:pPr>
        <w:ind w:firstLine="567"/>
        <w:jc w:val="both"/>
      </w:pPr>
      <w:r>
        <w:t xml:space="preserve">Giao thông hàng không có sự tiến bộ vượt bậc sau hơn 100 năm lịch sử từ chuyến bay đầu tiên của </w:t>
      </w:r>
      <w:r w:rsidR="00E2024C">
        <w:t xml:space="preserve">nhân loại. Con người ngày càng lựa chọn máy bay làm phương tiện di chuyển nhiều hơn, do tính </w:t>
      </w:r>
      <w:r w:rsidR="00DC3F35">
        <w:t xml:space="preserve">chất </w:t>
      </w:r>
      <w:r w:rsidR="00231F6F">
        <w:t xml:space="preserve">tiện lợi, an toàn và khả năng di chuyển liên lục địa. Năm 2007, tại Mỹ đã có 11 triệu </w:t>
      </w:r>
      <w:r w:rsidR="001F4F62">
        <w:t>chuyến bay</w:t>
      </w:r>
      <w:r w:rsidR="00231F6F">
        <w:t xml:space="preserve"> hàng không</w:t>
      </w:r>
      <w:r w:rsidR="001F4F62">
        <w:t xml:space="preserve"> dân dụng chở người và hàng hóa, c</w:t>
      </w:r>
      <w:r w:rsidR="00EB0DEA">
        <w:t xml:space="preserve">ho đến nay, </w:t>
      </w:r>
      <w:r w:rsidR="005263E4">
        <w:t>hàng ngày tại Mỹ có hơn 30.000 chuyến bay thương mại với hơn 02 triệu hành khách.</w:t>
      </w:r>
    </w:p>
    <w:p w:rsidR="00B75183" w:rsidRDefault="005263E4" w:rsidP="0075393A">
      <w:pPr>
        <w:ind w:firstLine="567"/>
        <w:jc w:val="both"/>
      </w:pPr>
      <w:r>
        <w:t>Cùng với</w:t>
      </w:r>
      <w:r w:rsidR="00B75183">
        <w:t xml:space="preserve"> sự phát triển của khoa học kỹ thuật, các dòng máy bay thương mại được </w:t>
      </w:r>
      <w:r w:rsidR="000549ED">
        <w:t xml:space="preserve">sản xuất với năng lực vượt trội, mang được nhiều hành khách hơn và bay xa hơn. Các công cụ quản lý của ngành hàng không </w:t>
      </w:r>
      <w:r w:rsidR="00165918">
        <w:t>được phát triển, hoàn thiện để hướng tới sự an toàn ngày càng cao trong khai thác bay.</w:t>
      </w:r>
    </w:p>
    <w:p w:rsidR="00165918" w:rsidRDefault="00165918" w:rsidP="0075393A">
      <w:pPr>
        <w:ind w:firstLine="567"/>
        <w:jc w:val="both"/>
      </w:pPr>
      <w:r>
        <w:lastRenderedPageBreak/>
        <w:t xml:space="preserve">Tuy nhiên, </w:t>
      </w:r>
      <w:r w:rsidR="00FF3ED3">
        <w:t xml:space="preserve">các sự cố/tai nạn hàng không vẫn diễn ra </w:t>
      </w:r>
      <w:r w:rsidR="00603EFC">
        <w:t>hàng năm, với một tỷ lệ khá ổn định, với nhiều yếu tố</w:t>
      </w:r>
      <w:r w:rsidR="00B85937">
        <w:t xml:space="preserve"> nguyên nhân đã và đang được điều tra, song chủ yếu được xác định do con người. </w:t>
      </w:r>
      <w:r w:rsidR="00CB5419">
        <w:t>Thảm họa chết chóc nhất trong lịch sử hàng không xảy ra vào ngày 27/3/1977, được biết đến là thảm họa ở Tenerife, 583 người đã chết khi một chiếc Boeing 747 của KLM cố gắng cất cánh và va chạm với một chiếc</w:t>
      </w:r>
      <w:r w:rsidR="00A11E5B">
        <w:t xml:space="preserve"> 747 của</w:t>
      </w:r>
      <w:r w:rsidR="00CB5419">
        <w:t xml:space="preserve"> Pan Am </w:t>
      </w:r>
      <w:r w:rsidR="00481D06">
        <w:t>đang chạ</w:t>
      </w:r>
      <w:r w:rsidR="00A11E5B">
        <w:t>y taxi</w:t>
      </w:r>
      <w:r w:rsidR="00CB5419">
        <w:t xml:space="preserve"> tại sân bay Los Rodeos. </w:t>
      </w:r>
      <w:r w:rsidR="00B85937">
        <w:t xml:space="preserve">Có những thảm họa hàng không </w:t>
      </w:r>
      <w:r w:rsidR="00CB5419">
        <w:t xml:space="preserve">vẫn còn trong vòng bí ẩn, như vụ MH370 (2014) của Malaysia. Và mới nhất là 02 vụ rơi máy bay Boeing 737 MAX </w:t>
      </w:r>
      <w:r w:rsidR="00B55DFD">
        <w:t>trong vòng 06 tháng.</w:t>
      </w:r>
      <w:r w:rsidR="00E967A6">
        <w:t>[4],[5]</w:t>
      </w:r>
    </w:p>
    <w:p w:rsidR="00CB5419" w:rsidRDefault="008A481B" w:rsidP="003A4722">
      <w:pPr>
        <w:jc w:val="cent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2562225" cy="1921510"/>
            <wp:effectExtent l="0" t="0" r="952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ố vụ TNHK 1918 - 2016.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2225" cy="1921510"/>
                    </a:xfrm>
                    <a:prstGeom prst="rect">
                      <a:avLst/>
                    </a:prstGeom>
                  </pic:spPr>
                </pic:pic>
              </a:graphicData>
            </a:graphic>
          </wp:anchor>
        </w:drawing>
      </w:r>
      <w:r w:rsidR="001D7286">
        <w:rPr>
          <w:noProof/>
        </w:rPr>
        <w:drawing>
          <wp:inline distT="0" distB="0" distL="0" distR="0">
            <wp:extent cx="2660355" cy="199072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ạn nhân TNHK .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18424" cy="2034178"/>
                    </a:xfrm>
                    <a:prstGeom prst="rect">
                      <a:avLst/>
                    </a:prstGeom>
                  </pic:spPr>
                </pic:pic>
              </a:graphicData>
            </a:graphic>
          </wp:inline>
        </w:drawing>
      </w:r>
      <w:r w:rsidR="00CB5419">
        <w:t>Hình 2: Thống kê tai nạn và sự cố hàng không giai đoạn 1918-2018</w:t>
      </w:r>
      <w:r w:rsidR="00E967A6">
        <w:t>. [3]</w:t>
      </w:r>
    </w:p>
    <w:p w:rsidR="00C60853" w:rsidRDefault="00C60853" w:rsidP="0075393A">
      <w:pPr>
        <w:ind w:firstLine="567"/>
        <w:jc w:val="both"/>
      </w:pPr>
      <w:r>
        <w:t xml:space="preserve">Khoảng 80 </w:t>
      </w:r>
      <w:r w:rsidR="00B55DFD">
        <w:t>%</w:t>
      </w:r>
      <w:r>
        <w:t xml:space="preserve"> của tất cả các </w:t>
      </w:r>
      <w:r w:rsidR="00B55DFD">
        <w:t>tai nạn</w:t>
      </w:r>
      <w:r>
        <w:t xml:space="preserve"> / sự cố hàng không xảy ra trong quá trình cất cánh hoặc hạ cánh</w:t>
      </w:r>
      <w:r w:rsidR="000B543A">
        <w:t xml:space="preserve"> và giai đoạn gần</w:t>
      </w:r>
      <w:r w:rsidR="000A3410">
        <w:t xml:space="preserve"> của quá trình cất, hạ cánh</w:t>
      </w:r>
      <w:r>
        <w:t xml:space="preserve">. Thảm họa </w:t>
      </w:r>
      <w:r w:rsidR="00B55DFD">
        <w:t>xảy ra trong giai đoạn giữa của hành trình bay</w:t>
      </w:r>
      <w:r>
        <w:t xml:space="preserve"> rất hiếm.Phân tích dữ liệu sự cố hàng không của Ủy ban An toàn Giao thông Quốc gia</w:t>
      </w:r>
      <w:r w:rsidR="00B55DFD">
        <w:t xml:space="preserve"> Hoa Kỳ</w:t>
      </w:r>
      <w:r>
        <w:t xml:space="preserve"> (NTSB) từ năm 1995 đến 2004 cho thấy tỷ lệ sự cố đối với các hãng hàng không thương mại lớn vẫn tương đối ổn định ở mức 0,3 đến 0,5 sự cố trên 100.000 chuyến. Số lượng các sự cố đã dao động từ 30 đến 56</w:t>
      </w:r>
      <w:r w:rsidR="00880894">
        <w:t xml:space="preserve"> vụ</w:t>
      </w:r>
      <w:r>
        <w:t xml:space="preserve"> mỗi năm, trong đó phần lớn trong số này là các sự cố chỉ gây thương tích hoặc chỉ gây thiệt hại. Các </w:t>
      </w:r>
      <w:r w:rsidR="002C2AA8">
        <w:t>tai nạn</w:t>
      </w:r>
      <w:r>
        <w:t xml:space="preserve">/sự cố hàng không nghiêm trọng và </w:t>
      </w:r>
      <w:r w:rsidR="004140DE">
        <w:t xml:space="preserve">rất </w:t>
      </w:r>
      <w:r>
        <w:t>nghiêm trọng là không phổ biến (5</w:t>
      </w:r>
      <w:r w:rsidR="002D0011">
        <w:t>-</w:t>
      </w:r>
      <w:r>
        <w:t>16%) với trung bình kết hợp là 2</w:t>
      </w:r>
      <w:r w:rsidR="002C2AA8">
        <w:t>-6</w:t>
      </w:r>
      <w:r w:rsidR="004140DE">
        <w:t xml:space="preserve">vụ </w:t>
      </w:r>
      <w:r>
        <w:t>mỗi năm trong khoảng thời gian 10 năm.</w:t>
      </w:r>
      <w:r w:rsidR="00AD22FA">
        <w:t>[6]</w:t>
      </w:r>
    </w:p>
    <w:p w:rsidR="00C60853" w:rsidRDefault="00C60853" w:rsidP="0075393A">
      <w:pPr>
        <w:ind w:firstLine="567"/>
        <w:jc w:val="both"/>
      </w:pPr>
      <w:r>
        <w:t xml:space="preserve">Khả năng sống sót của các sự cố nghiêm trọng vẫn còn tương đối cao trong </w:t>
      </w:r>
      <w:r w:rsidR="002C2AA8">
        <w:t xml:space="preserve">nhiều </w:t>
      </w:r>
      <w:r>
        <w:t xml:space="preserve">thập kỷ. Chỉ có 1 sự cố chết người (5%) trong số 19 sự cố hàng không nghiêm trọng với thiệt hại đáng kể của máy bay. Tuy nhiên, các vụ tai nạn lớn với </w:t>
      </w:r>
      <w:r w:rsidR="00F54CE5">
        <w:t>do rơi</w:t>
      </w:r>
      <w:r>
        <w:t xml:space="preserve"> máy bay có tỷ lệ sống sót cực kỳ thấp. Đánh giá về 18 vụ tai nạn chết người từ năm 1994 đến 2004 cho thấy không có ai sống sót sau 11 vụ tai nạn. 7 sự cố </w:t>
      </w:r>
      <w:r w:rsidR="005A37D9">
        <w:t xml:space="preserve">hàng không </w:t>
      </w:r>
      <w:r>
        <w:t>với những người sống sót cho thấy tỷ lệ tử vong từ 0,3</w:t>
      </w:r>
      <w:r w:rsidR="00F54CE5">
        <w:t>%</w:t>
      </w:r>
      <w:r>
        <w:t xml:space="preserve"> đến </w:t>
      </w:r>
      <w:r w:rsidR="005A37D9">
        <w:t>98</w:t>
      </w:r>
      <w:r w:rsidR="00F54CE5">
        <w:t>%.</w:t>
      </w:r>
      <w:r w:rsidR="00AD22FA">
        <w:t>[7]</w:t>
      </w:r>
    </w:p>
    <w:p w:rsidR="00F54CE5" w:rsidRPr="000B543A" w:rsidRDefault="00B32F1B" w:rsidP="0075393A">
      <w:pPr>
        <w:ind w:firstLine="567"/>
        <w:jc w:val="both"/>
        <w:rPr>
          <w:b/>
        </w:rPr>
      </w:pPr>
      <w:r w:rsidRPr="000B543A">
        <w:rPr>
          <w:b/>
        </w:rPr>
        <w:tab/>
        <w:t xml:space="preserve">III. ĐẶC ĐIỂM TỔN THƯƠNG </w:t>
      </w:r>
      <w:r w:rsidR="000B543A" w:rsidRPr="000B543A">
        <w:rPr>
          <w:b/>
        </w:rPr>
        <w:t>TRONG THẢM HỌA HÀNG KHÔNG:</w:t>
      </w:r>
    </w:p>
    <w:p w:rsidR="005A37D9" w:rsidRPr="00DA0718" w:rsidRDefault="005A37D9" w:rsidP="0075393A">
      <w:pPr>
        <w:ind w:firstLine="567"/>
        <w:jc w:val="both"/>
        <w:rPr>
          <w:b/>
        </w:rPr>
      </w:pPr>
      <w:r w:rsidRPr="00DA0718">
        <w:rPr>
          <w:b/>
        </w:rPr>
        <w:t xml:space="preserve">1. </w:t>
      </w:r>
      <w:r w:rsidR="00BC031C" w:rsidRPr="00DA0718">
        <w:rPr>
          <w:b/>
        </w:rPr>
        <w:t xml:space="preserve">Máy bay </w:t>
      </w:r>
      <w:r w:rsidR="00C603F9" w:rsidRPr="00DA0718">
        <w:rPr>
          <w:b/>
        </w:rPr>
        <w:t>trực thăng</w:t>
      </w:r>
    </w:p>
    <w:p w:rsidR="003D0E38" w:rsidRDefault="002A398A" w:rsidP="0075393A">
      <w:pPr>
        <w:ind w:firstLine="567"/>
        <w:jc w:val="both"/>
        <w:rPr>
          <w:rFonts w:cs="Times New Roman"/>
          <w:szCs w:val="28"/>
        </w:rPr>
      </w:pPr>
      <w:r>
        <w:rPr>
          <w:rFonts w:cs="Times New Roman"/>
          <w:szCs w:val="28"/>
        </w:rPr>
        <w:t xml:space="preserve">Cơ chế tổn thương trong tai nạn máy bay </w:t>
      </w:r>
      <w:r w:rsidR="00C603F9">
        <w:rPr>
          <w:rFonts w:cs="Times New Roman"/>
          <w:szCs w:val="28"/>
        </w:rPr>
        <w:t>trực thăng có liên quan đến quá trình giảm tốc theo chiều thẳng đứng trong các vụ rơi máy bay</w:t>
      </w:r>
      <w:r w:rsidR="00137DB5">
        <w:rPr>
          <w:rFonts w:cs="Times New Roman"/>
          <w:szCs w:val="28"/>
        </w:rPr>
        <w:t xml:space="preserve">. Các cơ chế bảo </w:t>
      </w:r>
      <w:r w:rsidR="00137DB5">
        <w:rPr>
          <w:rFonts w:cs="Times New Roman"/>
          <w:szCs w:val="28"/>
        </w:rPr>
        <w:lastRenderedPageBreak/>
        <w:t xml:space="preserve">vệ trong máy bay trực thăng </w:t>
      </w:r>
      <w:r w:rsidR="0032703D">
        <w:rPr>
          <w:rFonts w:cs="Times New Roman"/>
          <w:szCs w:val="28"/>
        </w:rPr>
        <w:t xml:space="preserve">có hiệu quả với người lái và hành khách, bằng chứng là tỷ lệ chấn thương bụng thấp </w:t>
      </w:r>
      <w:r w:rsidR="00D45A22">
        <w:rPr>
          <w:rFonts w:cs="Times New Roman"/>
          <w:szCs w:val="28"/>
        </w:rPr>
        <w:t xml:space="preserve">hơn được thống kê trong các vụ tai nạn. 88% các chấn thương là do vật tù, trong đó </w:t>
      </w:r>
      <w:r w:rsidR="002F2416">
        <w:rPr>
          <w:rFonts w:cs="Times New Roman"/>
          <w:szCs w:val="28"/>
        </w:rPr>
        <w:t>62% chấn thương sọ não, 50% có vỡ xương sọ</w:t>
      </w:r>
      <w:r w:rsidR="00CA44A4">
        <w:rPr>
          <w:rFonts w:cs="Times New Roman"/>
          <w:szCs w:val="28"/>
        </w:rPr>
        <w:t>, nguyên nhân do sự sụp đổ của cấu trúc buồng lái và sự xâm nhập các mảnh cánh</w:t>
      </w:r>
      <w:r w:rsidR="004E3AE1">
        <w:rPr>
          <w:rFonts w:cs="Times New Roman"/>
          <w:szCs w:val="28"/>
        </w:rPr>
        <w:t xml:space="preserve"> quạt, hệ thống truyền động và động cơ vào trong khoang máy bay. Gãy xương sườn chiếm 74% và tổn thương phổi đi kèm là </w:t>
      </w:r>
      <w:r w:rsidR="006A5BFA">
        <w:rPr>
          <w:rFonts w:cs="Times New Roman"/>
          <w:szCs w:val="28"/>
        </w:rPr>
        <w:t>61% các nạn nhân. Tổn thương chi dưới có tỷ lệ gặp gấp đôi tổn thương chi trên</w:t>
      </w:r>
      <w:r w:rsidR="00D57EE8">
        <w:rPr>
          <w:rFonts w:cs="Times New Roman"/>
          <w:szCs w:val="28"/>
        </w:rPr>
        <w:t xml:space="preserve">. </w:t>
      </w:r>
      <w:r w:rsidR="00B21C11">
        <w:rPr>
          <w:rFonts w:cs="Times New Roman"/>
          <w:szCs w:val="28"/>
        </w:rPr>
        <w:t>Vị trí tổn thương cột sống hay gặp là đoạn từ D12 – L3</w:t>
      </w:r>
      <w:r w:rsidR="00075E73">
        <w:rPr>
          <w:rFonts w:cs="Times New Roman"/>
          <w:szCs w:val="28"/>
        </w:rPr>
        <w:t xml:space="preserve">, cũng như C7. Các chấn thương nội tạng hay gặp bao gồm: phổi 61%, </w:t>
      </w:r>
      <w:r w:rsidR="00296A32">
        <w:rPr>
          <w:rFonts w:cs="Times New Roman"/>
          <w:szCs w:val="28"/>
        </w:rPr>
        <w:t xml:space="preserve">gan 47%, tim 42%, mạch máu lớn 38% và lách 32%. Các tổn thương do nhiệt ít gặp </w:t>
      </w:r>
      <w:r w:rsidR="00916378">
        <w:rPr>
          <w:rFonts w:cs="Times New Roman"/>
          <w:szCs w:val="28"/>
        </w:rPr>
        <w:t xml:space="preserve">hơn </w:t>
      </w:r>
      <w:r w:rsidR="00296A32">
        <w:rPr>
          <w:rFonts w:cs="Times New Roman"/>
          <w:szCs w:val="28"/>
        </w:rPr>
        <w:t>ở các vụ rơi máy bay trực thăng</w:t>
      </w:r>
      <w:r w:rsidR="00916378">
        <w:rPr>
          <w:rFonts w:cs="Times New Roman"/>
          <w:szCs w:val="28"/>
        </w:rPr>
        <w:t xml:space="preserve"> so với các vụ tai nạn máy bay canh cố định</w:t>
      </w:r>
      <w:r w:rsidR="007771EA">
        <w:rPr>
          <w:rFonts w:cs="Times New Roman"/>
          <w:szCs w:val="28"/>
        </w:rPr>
        <w:t xml:space="preserve"> có thể do </w:t>
      </w:r>
      <w:r w:rsidR="002B7C8A">
        <w:rPr>
          <w:rFonts w:cs="Times New Roman"/>
          <w:szCs w:val="28"/>
        </w:rPr>
        <w:t>cấu trúc hệ thống nhiên liệu</w:t>
      </w:r>
      <w:r w:rsidR="003D0E38">
        <w:rPr>
          <w:rFonts w:cs="Times New Roman"/>
          <w:szCs w:val="28"/>
        </w:rPr>
        <w:t xml:space="preserve"> có sự khác biệt giữa hai dòng máy bay.</w:t>
      </w:r>
      <w:r w:rsidR="00A10AB2">
        <w:rPr>
          <w:rFonts w:cs="Times New Roman"/>
          <w:szCs w:val="28"/>
        </w:rPr>
        <w:t>[4]</w:t>
      </w:r>
    </w:p>
    <w:p w:rsidR="003D0E38" w:rsidRPr="00DA0718" w:rsidRDefault="003D0E38" w:rsidP="0075393A">
      <w:pPr>
        <w:ind w:firstLine="567"/>
        <w:jc w:val="both"/>
        <w:rPr>
          <w:rFonts w:cs="Times New Roman"/>
          <w:b/>
          <w:szCs w:val="28"/>
        </w:rPr>
      </w:pPr>
      <w:r w:rsidRPr="00DA0718">
        <w:rPr>
          <w:rFonts w:cs="Times New Roman"/>
          <w:b/>
          <w:szCs w:val="28"/>
        </w:rPr>
        <w:t>2. Máy bay cánh cố đị</w:t>
      </w:r>
      <w:r w:rsidR="003F4110">
        <w:rPr>
          <w:rFonts w:cs="Times New Roman"/>
          <w:b/>
          <w:szCs w:val="28"/>
        </w:rPr>
        <w:t>nh</w:t>
      </w:r>
    </w:p>
    <w:p w:rsidR="00F50BF9" w:rsidRDefault="003D0E38" w:rsidP="0075393A">
      <w:pPr>
        <w:ind w:firstLine="567"/>
        <w:jc w:val="both"/>
        <w:rPr>
          <w:rFonts w:cs="Times New Roman"/>
          <w:szCs w:val="28"/>
        </w:rPr>
      </w:pPr>
      <w:r>
        <w:rPr>
          <w:rFonts w:cs="Times New Roman"/>
          <w:szCs w:val="28"/>
        </w:rPr>
        <w:t>Đặc điểm độ cao là sự khác biệt lớn nhất giữa các vụ tai nạn máy bay trực thăng và máy bay cánh cố định</w:t>
      </w:r>
      <w:r w:rsidR="008456FC">
        <w:rPr>
          <w:rFonts w:cs="Times New Roman"/>
          <w:szCs w:val="28"/>
        </w:rPr>
        <w:t xml:space="preserve">. Các tổn thương trong tai nạn máy bay cánh cố định xảy ra ngay trên không và </w:t>
      </w:r>
      <w:r w:rsidR="00075D2E">
        <w:rPr>
          <w:rFonts w:cs="Times New Roman"/>
          <w:szCs w:val="28"/>
        </w:rPr>
        <w:t xml:space="preserve">giai đoạn máy bay va chạm với mặt đất/mặt nước. Tuy nhiên, các tổn thương chủ yếu là do vật tù. </w:t>
      </w:r>
      <w:r w:rsidR="00477DCA">
        <w:rPr>
          <w:rFonts w:cs="Times New Roman"/>
          <w:szCs w:val="28"/>
        </w:rPr>
        <w:t xml:space="preserve">Kết quả pháp y </w:t>
      </w:r>
      <w:r w:rsidR="00BA620C">
        <w:rPr>
          <w:rFonts w:cs="Times New Roman"/>
          <w:szCs w:val="28"/>
        </w:rPr>
        <w:t xml:space="preserve">trong 28 nạn nhân rơi máy bay thấy 64% tử vong do đa chấn thương, 32% tử vong do ngạt và 3,5% tử vong do chấn thương sọ não </w:t>
      </w:r>
      <w:r w:rsidR="005E14A1">
        <w:rPr>
          <w:rFonts w:cs="Times New Roman"/>
          <w:szCs w:val="28"/>
        </w:rPr>
        <w:t xml:space="preserve">. </w:t>
      </w:r>
      <w:r w:rsidR="00023988">
        <w:rPr>
          <w:rFonts w:cs="Times New Roman"/>
          <w:szCs w:val="28"/>
        </w:rPr>
        <w:t>Các tổn thương do rơi máy bay cánh</w:t>
      </w:r>
      <w:r w:rsidR="00062E3E">
        <w:rPr>
          <w:rFonts w:cs="Times New Roman"/>
          <w:szCs w:val="28"/>
        </w:rPr>
        <w:t xml:space="preserve"> cố định </w:t>
      </w:r>
      <w:r w:rsidR="00023988">
        <w:rPr>
          <w:rFonts w:cs="Times New Roman"/>
          <w:szCs w:val="28"/>
        </w:rPr>
        <w:t>tương tự các tổn thương trong tai nạn xe máy và ô tô tốc độ cao</w:t>
      </w:r>
      <w:r w:rsidR="00D85C0C">
        <w:rPr>
          <w:rFonts w:cs="Times New Roman"/>
          <w:szCs w:val="28"/>
        </w:rPr>
        <w:t>. Thống kê các tổn thương giúp thiết kế cấu trúc và vận hành máy bay an toàn hơn.</w:t>
      </w:r>
    </w:p>
    <w:p w:rsidR="00D85C0C" w:rsidRDefault="00231B71" w:rsidP="0075393A">
      <w:pPr>
        <w:ind w:firstLine="567"/>
        <w:jc w:val="both"/>
        <w:rPr>
          <w:rFonts w:cs="Times New Roman"/>
          <w:szCs w:val="28"/>
        </w:rPr>
      </w:pPr>
      <w:r>
        <w:rPr>
          <w:rFonts w:cs="Times New Roman"/>
          <w:szCs w:val="28"/>
        </w:rPr>
        <w:t xml:space="preserve">Các nghiên cứu đã chứng minh tổn thương trong các vụ rơi máy bay cánh cố định </w:t>
      </w:r>
      <w:r w:rsidR="003F047F">
        <w:rPr>
          <w:rFonts w:cs="Times New Roman"/>
          <w:szCs w:val="28"/>
        </w:rPr>
        <w:t xml:space="preserve">có liên quan đến tình trạng giảm áp, thiếu oxy, giảm nhiệt độ sâu, </w:t>
      </w:r>
      <w:r w:rsidR="00EC7D5B">
        <w:rPr>
          <w:rFonts w:cs="Times New Roman"/>
          <w:szCs w:val="28"/>
        </w:rPr>
        <w:t xml:space="preserve">nhiễu loạn khí động và các yếu tố khí quyển khác. </w:t>
      </w:r>
      <w:r w:rsidR="00CD555B">
        <w:rPr>
          <w:rFonts w:cs="Times New Roman"/>
          <w:szCs w:val="28"/>
        </w:rPr>
        <w:t xml:space="preserve">Các cơ chế đó </w:t>
      </w:r>
      <w:r w:rsidR="00300F5D">
        <w:rPr>
          <w:rFonts w:cs="Times New Roman"/>
          <w:szCs w:val="28"/>
        </w:rPr>
        <w:t>đóng vai trò gây tổn thương tiên phát hoặc tổn thương gia tăng ở các hành khách sống sót sau các vụ rơi máy bay hoặc sự cố bay.</w:t>
      </w:r>
      <w:r w:rsidR="00A10AB2">
        <w:rPr>
          <w:rFonts w:cs="Times New Roman"/>
          <w:szCs w:val="28"/>
        </w:rPr>
        <w:t>[4]</w:t>
      </w:r>
    </w:p>
    <w:p w:rsidR="00300F5D" w:rsidRPr="00DA0718" w:rsidRDefault="00D47300" w:rsidP="0075393A">
      <w:pPr>
        <w:ind w:firstLine="567"/>
        <w:jc w:val="both"/>
        <w:rPr>
          <w:rFonts w:cs="Times New Roman"/>
          <w:b/>
          <w:szCs w:val="28"/>
        </w:rPr>
      </w:pPr>
      <w:r w:rsidRPr="00DA0718">
        <w:rPr>
          <w:rFonts w:cs="Times New Roman"/>
          <w:b/>
          <w:szCs w:val="28"/>
        </w:rPr>
        <w:t>3. Tổn thương vậ</w:t>
      </w:r>
      <w:r w:rsidR="003F4110">
        <w:rPr>
          <w:rFonts w:cs="Times New Roman"/>
          <w:b/>
          <w:szCs w:val="28"/>
        </w:rPr>
        <w:t>t lý do rơi máy bay</w:t>
      </w:r>
    </w:p>
    <w:p w:rsidR="00D47300" w:rsidRDefault="000A608A" w:rsidP="0075393A">
      <w:pPr>
        <w:ind w:firstLine="567"/>
        <w:jc w:val="both"/>
        <w:rPr>
          <w:rFonts w:cs="Times New Roman"/>
          <w:szCs w:val="28"/>
        </w:rPr>
      </w:pPr>
      <w:r>
        <w:rPr>
          <w:rFonts w:cs="Times New Roman"/>
          <w:szCs w:val="28"/>
        </w:rPr>
        <w:t>Các tổn thương nặng nề do rơi máy bay xảy ra trong giai đoạn máy bay tiếp xúc với mặt đất hoặc mặt nước</w:t>
      </w:r>
      <w:r w:rsidR="00F64510">
        <w:rPr>
          <w:rFonts w:cs="Times New Roman"/>
          <w:szCs w:val="28"/>
        </w:rPr>
        <w:t xml:space="preserve">. Đa số các tổn thương là do vật tù. Trong quá trình </w:t>
      </w:r>
      <w:r w:rsidR="00B70C1A">
        <w:rPr>
          <w:rFonts w:cs="Times New Roman"/>
          <w:szCs w:val="28"/>
        </w:rPr>
        <w:t>giữa thắt lưng an toàn với cơ thể.</w:t>
      </w:r>
      <w:r w:rsidR="00216A69">
        <w:rPr>
          <w:rFonts w:cs="Times New Roman"/>
          <w:szCs w:val="28"/>
        </w:rPr>
        <w:t xml:space="preserve"> Các va chạm của cơ thể với ghế phía trước gây tổn thương bề mặt cơ thể. </w:t>
      </w:r>
      <w:r w:rsidR="0055624A">
        <w:rPr>
          <w:rFonts w:cs="Times New Roman"/>
          <w:szCs w:val="28"/>
        </w:rPr>
        <w:t>Tử vong có thể do nguyên nhân chấn thương sọ não, cột sống và mạch máu lớn.</w:t>
      </w:r>
    </w:p>
    <w:p w:rsidR="0055624A" w:rsidRDefault="00FD4B44" w:rsidP="0075393A">
      <w:pPr>
        <w:ind w:firstLine="567"/>
        <w:jc w:val="both"/>
        <w:rPr>
          <w:rFonts w:cs="Times New Roman"/>
          <w:szCs w:val="28"/>
        </w:rPr>
      </w:pPr>
      <w:r>
        <w:rPr>
          <w:rFonts w:cs="Times New Roman"/>
          <w:szCs w:val="28"/>
        </w:rPr>
        <w:t xml:space="preserve">Ở các nạn nhân rơi máy bay còn sống sót, tổn thương chi dưới </w:t>
      </w:r>
      <w:r w:rsidR="00D663CF">
        <w:rPr>
          <w:rFonts w:cs="Times New Roman"/>
          <w:szCs w:val="28"/>
        </w:rPr>
        <w:t xml:space="preserve">với gãy thân xương dài </w:t>
      </w:r>
      <w:r>
        <w:rPr>
          <w:rFonts w:cs="Times New Roman"/>
          <w:szCs w:val="28"/>
        </w:rPr>
        <w:t>gặp với tỷ lệ lớn, tiếp theo là các tổn thương cột sống và sọ não</w:t>
      </w:r>
      <w:r w:rsidR="003F644C">
        <w:rPr>
          <w:rFonts w:cs="Times New Roman"/>
          <w:szCs w:val="28"/>
        </w:rPr>
        <w:t xml:space="preserve">. </w:t>
      </w:r>
      <w:r w:rsidR="004F042B">
        <w:rPr>
          <w:rFonts w:cs="Times New Roman"/>
          <w:szCs w:val="28"/>
        </w:rPr>
        <w:t xml:space="preserve">Các vùng cơ thể </w:t>
      </w:r>
      <w:r w:rsidR="00936580">
        <w:rPr>
          <w:rFonts w:cs="Times New Roman"/>
          <w:szCs w:val="28"/>
        </w:rPr>
        <w:t>khác cũng bị ảnh hưởng, trong đó tổn thương vùng ngực chiếm ưu thế hơn các tổn thương vùng bụng.</w:t>
      </w:r>
    </w:p>
    <w:p w:rsidR="00936580" w:rsidRDefault="006F6CD9" w:rsidP="0075393A">
      <w:pPr>
        <w:ind w:firstLine="567"/>
        <w:jc w:val="both"/>
        <w:rPr>
          <w:rFonts w:cs="Times New Roman"/>
          <w:szCs w:val="28"/>
        </w:rPr>
      </w:pPr>
      <w:r>
        <w:rPr>
          <w:rFonts w:cs="Times New Roman"/>
          <w:szCs w:val="28"/>
        </w:rPr>
        <w:t xml:space="preserve">Các yếu tố cộng hưởng bao gồm nhiệt độ cao, nhiệt độ thấp, </w:t>
      </w:r>
      <w:r w:rsidR="00207C8A">
        <w:rPr>
          <w:rFonts w:cs="Times New Roman"/>
          <w:szCs w:val="28"/>
        </w:rPr>
        <w:t>ngạt nước</w:t>
      </w:r>
      <w:r w:rsidR="00620E0E">
        <w:rPr>
          <w:rFonts w:cs="Times New Roman"/>
          <w:szCs w:val="28"/>
        </w:rPr>
        <w:t xml:space="preserve"> và các yếu tố môi trường khác có liên quan đến mức độ nặng nề của tổn thương trên các nạn nhân rơi máy bay.</w:t>
      </w:r>
      <w:r w:rsidR="00F3233D">
        <w:rPr>
          <w:rFonts w:cs="Times New Roman"/>
          <w:szCs w:val="28"/>
        </w:rPr>
        <w:t>[4]</w:t>
      </w:r>
    </w:p>
    <w:p w:rsidR="00620E0E" w:rsidRPr="00DA0718" w:rsidRDefault="003F4110" w:rsidP="0075393A">
      <w:pPr>
        <w:ind w:firstLine="567"/>
        <w:jc w:val="both"/>
        <w:rPr>
          <w:rFonts w:cs="Times New Roman"/>
          <w:b/>
          <w:szCs w:val="28"/>
        </w:rPr>
      </w:pPr>
      <w:r>
        <w:rPr>
          <w:rFonts w:cs="Times New Roman"/>
          <w:b/>
          <w:szCs w:val="28"/>
        </w:rPr>
        <w:t>4. Cháy máy bay</w:t>
      </w:r>
    </w:p>
    <w:p w:rsidR="00620E0E" w:rsidRDefault="00620E0E" w:rsidP="0075393A">
      <w:pPr>
        <w:ind w:firstLine="567"/>
        <w:jc w:val="both"/>
        <w:rPr>
          <w:rFonts w:cs="Times New Roman"/>
          <w:szCs w:val="28"/>
        </w:rPr>
      </w:pPr>
      <w:r>
        <w:rPr>
          <w:rFonts w:cs="Times New Roman"/>
          <w:szCs w:val="28"/>
        </w:rPr>
        <w:lastRenderedPageBreak/>
        <w:t xml:space="preserve">Tổng kết của NTSB </w:t>
      </w:r>
      <w:r w:rsidR="008B2D4A">
        <w:rPr>
          <w:rFonts w:cs="Times New Roman"/>
          <w:szCs w:val="28"/>
        </w:rPr>
        <w:t xml:space="preserve">trên 22.002 vụ rơi máy bay giai đoạn 1974-1978 thấy các </w:t>
      </w:r>
      <w:r w:rsidR="00265881">
        <w:rPr>
          <w:rFonts w:cs="Times New Roman"/>
          <w:szCs w:val="28"/>
        </w:rPr>
        <w:t>tổn thương liên quan đến cháy máy bay chiếm 8%. Trong đa cố các ca</w:t>
      </w:r>
      <w:r w:rsidR="000F133D">
        <w:rPr>
          <w:rFonts w:cs="Times New Roman"/>
          <w:szCs w:val="28"/>
        </w:rPr>
        <w:t xml:space="preserve"> được thống kê, nguyên nhân tử vong là do nhiệt độ cao, sau đó là do hít khí độc sinh ra từ đám cháy. Các khí độc </w:t>
      </w:r>
      <w:r w:rsidR="00FD4009">
        <w:rPr>
          <w:rFonts w:cs="Times New Roman"/>
          <w:szCs w:val="28"/>
        </w:rPr>
        <w:t>bao gồm CO và HCN</w:t>
      </w:r>
      <w:r w:rsidR="00BB6CD5">
        <w:rPr>
          <w:rFonts w:cs="Times New Roman"/>
          <w:szCs w:val="28"/>
        </w:rPr>
        <w:t xml:space="preserve"> gây rối loạn trao đổi và vận chuyển oxy trong máu</w:t>
      </w:r>
      <w:r w:rsidR="002D7DB5">
        <w:rPr>
          <w:rFonts w:cs="Times New Roman"/>
          <w:szCs w:val="28"/>
        </w:rPr>
        <w:t>.</w:t>
      </w:r>
    </w:p>
    <w:p w:rsidR="002D7DB5" w:rsidRDefault="002D7DB5" w:rsidP="0075393A">
      <w:pPr>
        <w:ind w:firstLine="567"/>
        <w:jc w:val="both"/>
        <w:rPr>
          <w:rFonts w:cs="Times New Roman"/>
          <w:szCs w:val="28"/>
        </w:rPr>
      </w:pPr>
      <w:r>
        <w:rPr>
          <w:rFonts w:cs="Times New Roman"/>
          <w:szCs w:val="28"/>
        </w:rPr>
        <w:t>Cháy máy bay cũng gây ngăn cản khả năng nhìn của nạn nhân, dẫn đến khó khăn trong thoát nạn khỏi máy bay</w:t>
      </w:r>
      <w:r w:rsidR="00CA15F4">
        <w:rPr>
          <w:rFonts w:cs="Times New Roman"/>
          <w:szCs w:val="28"/>
        </w:rPr>
        <w:t>.</w:t>
      </w:r>
      <w:r w:rsidR="00CB1A53">
        <w:rPr>
          <w:rFonts w:cs="Times New Roman"/>
          <w:szCs w:val="28"/>
        </w:rPr>
        <w:t xml:space="preserve">Các tổn thương bỏng </w:t>
      </w:r>
      <w:r w:rsidR="0056484C">
        <w:rPr>
          <w:rFonts w:cs="Times New Roman"/>
          <w:szCs w:val="28"/>
        </w:rPr>
        <w:t xml:space="preserve">bao gồm bỏng hô hấp trên và bỏng bề mặt cơ thể, đặc biệt có liên quan đến </w:t>
      </w:r>
      <w:r w:rsidR="00A97CC5">
        <w:rPr>
          <w:rFonts w:cs="Times New Roman"/>
          <w:szCs w:val="28"/>
        </w:rPr>
        <w:t>phân tán nhiên liệu máy bay do tai nạn. Các tổn thương đó gợi ý các nhu cầu đảm bảo về cấp cứu bỏng và hồi sức tại các trung tâm cấp cứu sau thảm họa</w:t>
      </w:r>
      <w:r w:rsidR="00DA0718">
        <w:rPr>
          <w:rFonts w:cs="Times New Roman"/>
          <w:szCs w:val="28"/>
        </w:rPr>
        <w:t>, cũng như xây dựng các khuyến cáo chuyên ngành</w:t>
      </w:r>
      <w:r w:rsidR="00A97CC5">
        <w:rPr>
          <w:rFonts w:cs="Times New Roman"/>
          <w:szCs w:val="28"/>
        </w:rPr>
        <w:t>.</w:t>
      </w:r>
      <w:r w:rsidR="00F3233D">
        <w:rPr>
          <w:rFonts w:cs="Times New Roman"/>
          <w:szCs w:val="28"/>
        </w:rPr>
        <w:t>[4]</w:t>
      </w:r>
    </w:p>
    <w:p w:rsidR="00A97CC5" w:rsidRPr="009551D1" w:rsidRDefault="00AD5DFB" w:rsidP="0075393A">
      <w:pPr>
        <w:ind w:firstLine="567"/>
        <w:jc w:val="both"/>
        <w:rPr>
          <w:rFonts w:cs="Times New Roman"/>
          <w:b/>
          <w:szCs w:val="28"/>
        </w:rPr>
      </w:pPr>
      <w:r w:rsidRPr="009551D1">
        <w:rPr>
          <w:rFonts w:cs="Times New Roman"/>
          <w:b/>
          <w:szCs w:val="28"/>
        </w:rPr>
        <w:t>IV. ĐẢM BẢO Y TẾ CHO THẢM HỌA HÀNG KHÔNG</w:t>
      </w:r>
    </w:p>
    <w:p w:rsidR="009551D1" w:rsidRDefault="001A2B01" w:rsidP="0075393A">
      <w:pPr>
        <w:ind w:firstLine="567"/>
        <w:jc w:val="both"/>
        <w:rPr>
          <w:rFonts w:cs="Times New Roman"/>
          <w:szCs w:val="28"/>
        </w:rPr>
      </w:pPr>
      <w:r>
        <w:rPr>
          <w:rFonts w:cs="Times New Roman"/>
          <w:szCs w:val="28"/>
        </w:rPr>
        <w:t xml:space="preserve">Đảm bảo y tế cho thảm họa hàng không </w:t>
      </w:r>
      <w:r w:rsidR="008326AF">
        <w:rPr>
          <w:rFonts w:cs="Times New Roman"/>
          <w:szCs w:val="28"/>
        </w:rPr>
        <w:t>theo những nguyên tắc đáp ứng y tế cho các thảm họa khác, theo từng giai đoạn của vòng thảm họa, cụ thể:</w:t>
      </w:r>
    </w:p>
    <w:p w:rsidR="008326AF" w:rsidRDefault="008559C8" w:rsidP="0075393A">
      <w:pPr>
        <w:ind w:firstLine="567"/>
        <w:jc w:val="both"/>
        <w:rPr>
          <w:b/>
        </w:rPr>
      </w:pPr>
      <w:r>
        <w:rPr>
          <w:b/>
        </w:rPr>
        <w:t>1.</w:t>
      </w:r>
      <w:r w:rsidR="008326AF" w:rsidRPr="00272DDE">
        <w:rPr>
          <w:b/>
        </w:rPr>
        <w:t xml:space="preserve"> Giai đoạn Phòng ngừa và giảm </w:t>
      </w:r>
      <w:r w:rsidR="00272DDE">
        <w:rPr>
          <w:b/>
        </w:rPr>
        <w:t>trừ</w:t>
      </w:r>
      <w:r w:rsidR="003F4110">
        <w:rPr>
          <w:b/>
        </w:rPr>
        <w:t xml:space="preserve"> nguy cơ</w:t>
      </w:r>
    </w:p>
    <w:p w:rsidR="0071228C" w:rsidRDefault="00D405AC" w:rsidP="0075393A">
      <w:pPr>
        <w:ind w:firstLine="567"/>
        <w:jc w:val="both"/>
      </w:pPr>
      <w:r>
        <w:t>Các hoạt động phòng ngừa và giảm trừ nguy cơ thảm họa hàng không bao gồm t</w:t>
      </w:r>
      <w:r w:rsidR="0071228C">
        <w:t xml:space="preserve">iến hành đánh giá, lượng giá các nguy cơ của thảm họa hàng không, </w:t>
      </w:r>
      <w:r>
        <w:t xml:space="preserve">đánh giá </w:t>
      </w:r>
      <w:r w:rsidR="0071228C">
        <w:t xml:space="preserve">mức độ ảnh hưởng đến cộng đồng </w:t>
      </w:r>
      <w:r w:rsidR="00372EDD">
        <w:t>có liên quan</w:t>
      </w:r>
      <w:r>
        <w:t xml:space="preserve"> (tổ bay, hành khách, dân cư,…)</w:t>
      </w:r>
      <w:r w:rsidR="0071228C">
        <w:t xml:space="preserve">, </w:t>
      </w:r>
      <w:r w:rsidR="00372EDD">
        <w:t>tổ chức huấn luyện về nguy cơ thảm họa hàng không cho các đối tượng có liên quan.</w:t>
      </w:r>
    </w:p>
    <w:p w:rsidR="00372EDD" w:rsidRDefault="00372EDD" w:rsidP="0075393A">
      <w:pPr>
        <w:ind w:firstLine="567"/>
        <w:jc w:val="both"/>
      </w:pPr>
      <w:r>
        <w:t xml:space="preserve">Xây dựng chính sách </w:t>
      </w:r>
      <w:r w:rsidR="000D410C">
        <w:t>bao gồm hệ thống văn bản pháp quy ứng phó khẩn nguy, các chính sách bảo hiểm, các chính sách sử dụng lực lượng và nguồn lực y tế cần thiết đối phó với thảm họa hàng không</w:t>
      </w:r>
      <w:r w:rsidR="00F421DE">
        <w:t>.</w:t>
      </w:r>
      <w:r w:rsidR="003102AC">
        <w:t xml:space="preserve"> C</w:t>
      </w:r>
      <w:r w:rsidR="00DA60C4">
        <w:t xml:space="preserve">ần xem xét nhu cầu thiết lập các </w:t>
      </w:r>
      <w:r w:rsidR="0058204E">
        <w:t>văn bản pháp quy phối hợp liên ngành và đa ngành</w:t>
      </w:r>
      <w:r w:rsidR="00583774">
        <w:t xml:space="preserve">, </w:t>
      </w:r>
      <w:r w:rsidR="0056751D">
        <w:t xml:space="preserve">phối hợp giữa </w:t>
      </w:r>
      <w:r w:rsidR="00583774">
        <w:t xml:space="preserve">các cơ quan quản lý nhà nước và các </w:t>
      </w:r>
      <w:r w:rsidR="0056751D">
        <w:t>đơn vị</w:t>
      </w:r>
      <w:r w:rsidR="00583774">
        <w:t xml:space="preserve"> khai thác bay</w:t>
      </w:r>
      <w:r w:rsidR="00EA5C11">
        <w:t xml:space="preserve">. Các chính sách về giám định sức khỏe nhân viên bay, nhân viên kiểm soát không lưu </w:t>
      </w:r>
      <w:r w:rsidR="00B70CC7">
        <w:t xml:space="preserve">và các quy định về kiểm tra y tế ngay trước chuyến bay </w:t>
      </w:r>
      <w:r w:rsidR="00EA5C11">
        <w:t>cũng thuộc các biện pháp phòng ngừa và giảm trừ nguy cơ thảm họa hàng không.</w:t>
      </w:r>
    </w:p>
    <w:p w:rsidR="00D405AC" w:rsidRPr="0071228C" w:rsidRDefault="00D405AC" w:rsidP="0075393A">
      <w:pPr>
        <w:ind w:firstLine="567"/>
        <w:jc w:val="both"/>
      </w:pPr>
      <w:r>
        <w:t>Các hoạt động phòng ngừa và giảm trừ nguy cơ được thực hiện liên tục</w:t>
      </w:r>
      <w:r w:rsidR="00490A59">
        <w:t>, cập nhật theo khuyến cáo của</w:t>
      </w:r>
      <w:r w:rsidR="002361EB">
        <w:t xml:space="preserve"> Tổ chức Hàng không dân dụng quốc tế (ICAO)</w:t>
      </w:r>
      <w:r w:rsidR="00490A59">
        <w:t xml:space="preserve"> h</w:t>
      </w:r>
      <w:r w:rsidR="0056751D">
        <w:t>ã</w:t>
      </w:r>
      <w:r w:rsidR="00490A59">
        <w:t>ng sản xuất máy bay, hoặc nhà chức trách hàng không</w:t>
      </w:r>
      <w:r w:rsidR="00D8303D">
        <w:t xml:space="preserve"> thông qua rút kinh nghiệm các sự cố</w:t>
      </w:r>
      <w:r w:rsidR="00C269E4">
        <w:t>/tai nạn hàng không, xử lý hậu quả sự cố/t</w:t>
      </w:r>
      <w:r w:rsidR="00CD234C">
        <w:t>a</w:t>
      </w:r>
      <w:r w:rsidR="00C269E4">
        <w:t>i nạn hàng không</w:t>
      </w:r>
      <w:r w:rsidR="001F4F45">
        <w:t>, sau khi tiếp thu khai thác dòng máy bay mới</w:t>
      </w:r>
      <w:r w:rsidR="005125B0">
        <w:t>hoặc sau khi xây dựng các chính sách quản lý, vận hành và khai thác hàng không.</w:t>
      </w:r>
    </w:p>
    <w:p w:rsidR="008326AF" w:rsidRDefault="00CF13EB" w:rsidP="0075393A">
      <w:pPr>
        <w:ind w:firstLine="567"/>
        <w:jc w:val="both"/>
        <w:rPr>
          <w:b/>
        </w:rPr>
      </w:pPr>
      <w:r>
        <w:rPr>
          <w:b/>
        </w:rPr>
        <w:t>2.</w:t>
      </w:r>
      <w:r w:rsidR="00484F4D" w:rsidRPr="00484F4D">
        <w:rPr>
          <w:b/>
        </w:rPr>
        <w:t xml:space="preserve"> Giai đoạn </w:t>
      </w:r>
      <w:r w:rsidR="008326AF" w:rsidRPr="00484F4D">
        <w:rPr>
          <w:b/>
        </w:rPr>
        <w:t>Chuẩn bị</w:t>
      </w:r>
    </w:p>
    <w:p w:rsidR="00F421DE" w:rsidRDefault="001F4F45" w:rsidP="0075393A">
      <w:pPr>
        <w:ind w:firstLine="567"/>
        <w:jc w:val="both"/>
      </w:pPr>
      <w:r>
        <w:t xml:space="preserve">Các hoạt động giai đoạn chuẩn bị là các hoạt động tiếp theo của giai đoạn phòng </w:t>
      </w:r>
      <w:r w:rsidR="00711DCC">
        <w:t>ngừa và giảm nhẹ nguy cơ, trong đó cần t</w:t>
      </w:r>
      <w:r w:rsidR="00CF13EB">
        <w:t xml:space="preserve">iếp tục các hoạt động </w:t>
      </w:r>
      <w:r w:rsidR="00711DCC">
        <w:t>đ</w:t>
      </w:r>
      <w:r w:rsidR="00F421DE">
        <w:t xml:space="preserve">ánh giá </w:t>
      </w:r>
      <w:r w:rsidR="00B54964">
        <w:t>nguy cơ, lượng giá nguy c</w:t>
      </w:r>
      <w:r w:rsidR="00CF13EB">
        <w:t>ơ</w:t>
      </w:r>
      <w:r w:rsidR="00B54964">
        <w:t xml:space="preserve"> thảm họa hàng không.</w:t>
      </w:r>
    </w:p>
    <w:p w:rsidR="00B54964" w:rsidRDefault="00B54964" w:rsidP="0075393A">
      <w:pPr>
        <w:ind w:firstLine="567"/>
        <w:jc w:val="both"/>
      </w:pPr>
      <w:r>
        <w:lastRenderedPageBreak/>
        <w:t>Thiết lập hệ thống thông tin, cảnh báo</w:t>
      </w:r>
      <w:r w:rsidR="00711DCC">
        <w:t xml:space="preserve"> đóng vai trò quan trọng để sẵn sàng ứng phó </w:t>
      </w:r>
      <w:r w:rsidR="003842AF">
        <w:t>với thảm họa hàng không, do tính chất không dự báo được của thảm họa về không gian và thời gian</w:t>
      </w:r>
      <w:r>
        <w:t>.</w:t>
      </w:r>
    </w:p>
    <w:p w:rsidR="00B54964" w:rsidRDefault="00B54964" w:rsidP="0075393A">
      <w:pPr>
        <w:ind w:firstLine="567"/>
        <w:jc w:val="both"/>
      </w:pPr>
      <w:r>
        <w:t xml:space="preserve">Xây dựng kế hoạch </w:t>
      </w:r>
      <w:r w:rsidR="003842AF">
        <w:t xml:space="preserve">đảm bảo y tế </w:t>
      </w:r>
      <w:r>
        <w:t>ứng phó khẩn nguy, diễn tập ứng phó khẩn nguy thảm họa hàng không.</w:t>
      </w:r>
      <w:r w:rsidR="003842AF">
        <w:t xml:space="preserve"> Kế hoạch đảm bảo y tế cho ứng phó khẩn nguy nằm trong kế hoạch chung của ứng phó khẩn nguy hàng không. Trong kế hoạch cần xác định rõ nguồn lực y tế </w:t>
      </w:r>
      <w:r w:rsidR="003102AC">
        <w:t xml:space="preserve">sẽ được sử dụng khi xảy ra thảm họa, sự phối hợp </w:t>
      </w:r>
      <w:r w:rsidR="00D31CDE">
        <w:t>của y tế địa phương, y tế dự phòng, lực lượng quân y</w:t>
      </w:r>
      <w:r w:rsidR="003E7D46">
        <w:t>; xác định rõ các tình huống cần thiết có sự tham gia của lực lượng y tế nước ngoài</w:t>
      </w:r>
      <w:r w:rsidR="0081378A">
        <w:t xml:space="preserve"> trong các thảm họa máy bay trên các đường bay quốc tế theo thông lệ hàng không quốc tế. Tại Việt Nam, có kế hoạch </w:t>
      </w:r>
      <w:r w:rsidR="00950082">
        <w:t>ứng phó khẩn nguy của Cục Hàng không Việt Nam và quy chế an toàn trong khai thác hàng không. Lực lượng Không quân Việt Nam</w:t>
      </w:r>
      <w:r w:rsidR="00E3307A">
        <w:t xml:space="preserve"> có các kế hoạch tìm kiếm cứu nạn được triển khai đến các đơn vị bay, Viện Y học PK-KQ và Bộ Tư lệnh PK-KQ để </w:t>
      </w:r>
      <w:r w:rsidR="00095882">
        <w:t xml:space="preserve">giao nhiệm vụ và tổ chức lực lượng tham gia </w:t>
      </w:r>
      <w:r w:rsidR="00E21BAA">
        <w:t>ứng phó các thảm họa hàng không.</w:t>
      </w:r>
    </w:p>
    <w:p w:rsidR="00E21BAA" w:rsidRDefault="00E21BAA" w:rsidP="0075393A">
      <w:pPr>
        <w:ind w:firstLine="567"/>
        <w:jc w:val="both"/>
      </w:pPr>
      <w:r>
        <w:t xml:space="preserve">Diễn tập ứng phó khẩn nguy là hình thức huấn luyện cao nhất trong giai đoạn chuẩn bị </w:t>
      </w:r>
      <w:r w:rsidR="00603A56">
        <w:t xml:space="preserve">ứng phó thảm họa hàng không. Việt Nam chưa tổ chức diễn tập riêng về đảm bảo </w:t>
      </w:r>
      <w:r w:rsidR="005E7B6A">
        <w:t>y tế cho thảm họa hàng không. Thông qua diễn tập để rút kinh nghiệm về quy trình, chuẩn bị nguồn lực và sử dụng nguồn lực y tế ứng phó thảm họa hàng không.</w:t>
      </w:r>
      <w:r w:rsidR="0080233B">
        <w:t xml:space="preserve"> Theo khuyến nghị của Tổ chức Hàng không quốc tế (ICAO) diễn tập </w:t>
      </w:r>
      <w:r w:rsidR="001E6A4F">
        <w:t xml:space="preserve">đảm bảo y tế cho cấp cứu Hàng không theo các hình thức và chu kỳ thực hiện: Diễn tập toàn bộ mỗi 2 năm một lần, diễn tập từng phần hàng năm và diễn tập trên </w:t>
      </w:r>
      <w:r w:rsidR="00C5092D">
        <w:t>sơ đồ, sa bàn mỗi 06 tháng.</w:t>
      </w:r>
    </w:p>
    <w:p w:rsidR="00B54964" w:rsidRDefault="00B54964" w:rsidP="0075393A">
      <w:pPr>
        <w:ind w:firstLine="567"/>
        <w:jc w:val="both"/>
      </w:pPr>
      <w:r>
        <w:t>Huấn luyện, đào tạo nhân viên y tế</w:t>
      </w:r>
      <w:r w:rsidR="00486CC0">
        <w:t xml:space="preserve">, nhân viên hàng không </w:t>
      </w:r>
      <w:r>
        <w:t>về ứng phó thảm họa hàng không</w:t>
      </w:r>
      <w:r w:rsidR="00473C1E">
        <w:t>.</w:t>
      </w:r>
      <w:r w:rsidR="003D6DFF">
        <w:t xml:space="preserve"> Các hoạt động huấn luyện được thực hiện thường xuyên, song chưa có giáo trình chuyên biệt cho ứng phó thảm họa hàng không.</w:t>
      </w:r>
    </w:p>
    <w:p w:rsidR="0056751D" w:rsidRDefault="0056751D" w:rsidP="0075393A">
      <w:pPr>
        <w:ind w:firstLine="567"/>
        <w:jc w:val="both"/>
      </w:pPr>
      <w:r>
        <w:t xml:space="preserve">Tổ chức các hoạt động giám định và cấp giấy chứng nhận sức khỏe phù hợp </w:t>
      </w:r>
      <w:r w:rsidR="00415860">
        <w:t>cho phi công, nhân viên hàng không, nhân viên kiểm soát không lưu phải được tuân thủ chặt chẽ</w:t>
      </w:r>
      <w:r w:rsidR="00082D67">
        <w:t>, kiểm tra y tế ngay trước bay là cần thiết</w:t>
      </w:r>
      <w:r w:rsidR="0034486D">
        <w:t xml:space="preserve">. Ví dụ: vụ tai nạn </w:t>
      </w:r>
      <w:r w:rsidR="00C57682">
        <w:t xml:space="preserve">máy bay Boeing 737-800 của Air India Express (2010) các phi công không được </w:t>
      </w:r>
      <w:r w:rsidR="00082D67">
        <w:t>kiểm tra y tế ngay trước chuyến bay</w:t>
      </w:r>
      <w:r w:rsidR="00C01430">
        <w:t xml:space="preserve">, vụ tai nạn </w:t>
      </w:r>
      <w:r w:rsidR="00A13F31">
        <w:t>của GermanWing</w:t>
      </w:r>
      <w:r w:rsidR="007F26F8">
        <w:t>s 9525 có nguyên nhân do phi công không được giám định tâm thần đầy đủ.</w:t>
      </w:r>
      <w:r w:rsidR="00AD22FA">
        <w:t xml:space="preserve"> [5],[</w:t>
      </w:r>
      <w:r w:rsidR="00783A19">
        <w:t>8]</w:t>
      </w:r>
    </w:p>
    <w:p w:rsidR="00E91EC7" w:rsidRDefault="00E91EC7" w:rsidP="0075393A">
      <w:pPr>
        <w:ind w:firstLine="567"/>
        <w:jc w:val="both"/>
      </w:pPr>
      <w:r>
        <w:t>Tại Việt Nam, nhân viên hàng không dân dụng được giám định sức khỏe bởi các cơ sở y tế</w:t>
      </w:r>
      <w:r w:rsidR="00016E17">
        <w:t xml:space="preserve"> và giám định viên</w:t>
      </w:r>
      <w:r>
        <w:t xml:space="preserve"> được Cục Hàng không Việt Nam chấp thuận</w:t>
      </w:r>
      <w:r w:rsidR="00016E17">
        <w:t xml:space="preserve"> và được đánh giá lại và cấp giấy chứng nhận sức khỏe do Hội đồng đánh giá kết quả giám định của Cục Hàng không Việt Nam, các phi công quân đội được giám định sức khỏe bởi Hội đồng giám định sức khỏe phi công/Quân chủng PK-KQ.</w:t>
      </w:r>
      <w:r w:rsidR="00082D67">
        <w:t xml:space="preserve"> Việc kiểm tra y tế ngay trước bay được thực hiện bởi nhân viên y tế/quân y của đoàn bay/đơn vị bay.</w:t>
      </w:r>
    </w:p>
    <w:p w:rsidR="008326AF" w:rsidRPr="00EA5050" w:rsidRDefault="00CF13EB" w:rsidP="0075393A">
      <w:pPr>
        <w:ind w:firstLine="567"/>
        <w:jc w:val="both"/>
        <w:rPr>
          <w:b/>
        </w:rPr>
      </w:pPr>
      <w:r>
        <w:rPr>
          <w:b/>
        </w:rPr>
        <w:t>3.</w:t>
      </w:r>
      <w:r w:rsidR="00484F4D" w:rsidRPr="00EA5050">
        <w:rPr>
          <w:b/>
        </w:rPr>
        <w:t xml:space="preserve"> Giai đoạn </w:t>
      </w:r>
      <w:r w:rsidR="00046AAF">
        <w:rPr>
          <w:b/>
        </w:rPr>
        <w:t xml:space="preserve">Đáp </w:t>
      </w:r>
      <w:r w:rsidR="008326AF" w:rsidRPr="00EA5050">
        <w:rPr>
          <w:b/>
        </w:rPr>
        <w:t>ứng</w:t>
      </w:r>
    </w:p>
    <w:p w:rsidR="00A13FD6" w:rsidRDefault="00A13FD6" w:rsidP="0075393A">
      <w:pPr>
        <w:ind w:firstLine="567"/>
        <w:jc w:val="both"/>
      </w:pPr>
      <w:r>
        <w:lastRenderedPageBreak/>
        <w:t xml:space="preserve">Giai đoạn </w:t>
      </w:r>
      <w:r w:rsidR="00046AAF">
        <w:t>đáp</w:t>
      </w:r>
      <w:r>
        <w:t xml:space="preserve"> ứng được xác định bắt đầu t</w:t>
      </w:r>
      <w:r w:rsidR="00703A3F">
        <w:t>ừ</w:t>
      </w:r>
      <w:r>
        <w:t xml:space="preserve"> khi có thông tin, thông báo về sự cố/tai nạn máy bay, bao gồm một chuỗi các hành động ứng phó </w:t>
      </w:r>
      <w:r w:rsidR="006210A1">
        <w:t>và đảm bảo y tế cho đến giai đoạn phục hồi sau thảm họa.</w:t>
      </w:r>
      <w:r w:rsidR="00E82303">
        <w:t xml:space="preserve"> Đảm bảo y tế giai đoạn này nằm trong </w:t>
      </w:r>
      <w:r w:rsidR="0081145D">
        <w:t>loạt các hành động chung ứng phó thảm họa</w:t>
      </w:r>
    </w:p>
    <w:p w:rsidR="006210A1" w:rsidRDefault="00CA2394" w:rsidP="0075393A">
      <w:pPr>
        <w:ind w:firstLine="567"/>
        <w:jc w:val="both"/>
      </w:pPr>
      <w:r>
        <w:t xml:space="preserve">Theo </w:t>
      </w:r>
      <w:r w:rsidR="000A53C6">
        <w:t>NTSB</w:t>
      </w:r>
      <w:r w:rsidR="007E41C5">
        <w:t xml:space="preserve">, giai đoạn này và giai đoạn phục hồi sau thảm họa được chia thành 04 phase nối tiếp nhau: </w:t>
      </w:r>
      <w:r w:rsidR="00E82303">
        <w:t>Đáp ứng khẩn cấp; Ổn định hiện trường và vận chuyển người bị nạn; Điều tra; Phục hồi.</w:t>
      </w:r>
    </w:p>
    <w:p w:rsidR="00D519E2" w:rsidRDefault="002D223B" w:rsidP="0075393A">
      <w:pPr>
        <w:ind w:firstLine="567"/>
        <w:jc w:val="both"/>
      </w:pPr>
      <w:r>
        <w:t>Các hành động pha đáp ứng khẩn cấp bao gồm</w:t>
      </w:r>
      <w:r w:rsidR="0081145D">
        <w:t xml:space="preserve"> t</w:t>
      </w:r>
      <w:r w:rsidR="00D519E2">
        <w:t>hiết lập hệ thống chỉ huy điều hành, thông tin khẩn cấp</w:t>
      </w:r>
      <w:r w:rsidR="001915FA">
        <w:t xml:space="preserve"> và hệ thống giám sát.</w:t>
      </w:r>
      <w:r w:rsidR="00B65FA8">
        <w:t xml:space="preserve">Cần thiết có hệ thống chỉ huy điều hành chung để điều phối các hoạt động trong đó có hoạt động đảm bảo y tế. Hệ thống thông tin </w:t>
      </w:r>
      <w:r w:rsidR="00974154">
        <w:t>đóng vai trò quan trọng để có thể nhanh chóng tiếp cận được hiện trường thảm họa</w:t>
      </w:r>
      <w:r w:rsidR="004C16CB">
        <w:t>, đôi</w:t>
      </w:r>
      <w:r w:rsidR="007600E4">
        <w:t xml:space="preserve"> khi</w:t>
      </w:r>
      <w:r w:rsidR="004C16CB">
        <w:t xml:space="preserve"> hiện trường thảm họa hàng không trải rộng</w:t>
      </w:r>
      <w:r w:rsidR="007600E4">
        <w:t>, nằm ở vùng xa dân cư, vùng biển</w:t>
      </w:r>
      <w:r w:rsidR="00F066DD">
        <w:t xml:space="preserve">, có hạn chế về các phương tiện thông tin thông thường vì vậy cần vận dụng tối đa các </w:t>
      </w:r>
      <w:r w:rsidR="000E4607">
        <w:t>phương tiện thông tin bao gồm các thiết bị chuyên dụng cũng như mạng lưới thông tin đại chúng</w:t>
      </w:r>
      <w:r w:rsidR="00581B34">
        <w:t>. Nhu cầu thông tin cần được xác định theo nguyên tắc càng sớm càng tốt, càng nhiều càng tốt</w:t>
      </w:r>
      <w:r w:rsidR="000E4607">
        <w:t>. Hệ thống giám sát và điều phối cần thiết lập ngay lập tức</w:t>
      </w:r>
      <w:r w:rsidR="00B63613">
        <w:t xml:space="preserve"> để thu thập thông tin, theo dõi và xử lý các tình huống có liên quan.</w:t>
      </w:r>
    </w:p>
    <w:p w:rsidR="00FA44C4" w:rsidRDefault="00FA44C4" w:rsidP="0075393A">
      <w:pPr>
        <w:ind w:firstLine="567"/>
        <w:jc w:val="both"/>
      </w:pPr>
      <w:r>
        <w:t>Đánh giá nhanh nhu cầu y tế cho các đối tượng bị ảnh hưởng, bao gồm tổ lái, hành khách và dân cư khu vực xảy ra thảm họa.</w:t>
      </w:r>
      <w:r w:rsidR="00581B34">
        <w:t xml:space="preserve"> Các thông tin cần đánh giá </w:t>
      </w:r>
      <w:r w:rsidR="00221038">
        <w:t xml:space="preserve">để xây dựng nhu cầu đảm bảo y tế </w:t>
      </w:r>
      <w:r w:rsidR="00581B34">
        <w:t xml:space="preserve">bao gồm: thông tin về tổ bay, đường bay, </w:t>
      </w:r>
      <w:r w:rsidR="00B764AE">
        <w:t>số lượng người trên máy bay, địa điểm thảm họa, dân cư vùng thảm họa, giao thông vùng thảm họa, năng lực y tế địa phương</w:t>
      </w:r>
      <w:r w:rsidR="00221038">
        <w:t>….</w:t>
      </w:r>
    </w:p>
    <w:p w:rsidR="00022F96" w:rsidRDefault="008360A8" w:rsidP="0075393A">
      <w:pPr>
        <w:shd w:val="clear" w:color="auto" w:fill="FFFFFF"/>
        <w:ind w:firstLine="567"/>
        <w:jc w:val="both"/>
        <w:textAlignment w:val="baseline"/>
        <w:rPr>
          <w:rFonts w:eastAsia="Times New Roman" w:cs="Times New Roman"/>
          <w:szCs w:val="28"/>
        </w:rPr>
      </w:pPr>
      <w:r w:rsidRPr="006C1996">
        <w:rPr>
          <w:rFonts w:cs="Times New Roman"/>
          <w:szCs w:val="28"/>
        </w:rPr>
        <w:t>Thiết lập hệ thống cấp cứu, chăm sóc y tế khẩn cấp.</w:t>
      </w:r>
      <w:r w:rsidR="0062203C" w:rsidRPr="006C1996">
        <w:rPr>
          <w:rFonts w:cs="Times New Roman"/>
          <w:szCs w:val="28"/>
        </w:rPr>
        <w:t xml:space="preserve">Đáp ứng y tế tại nơi thảm họa </w:t>
      </w:r>
      <w:r w:rsidR="004C3A61" w:rsidRPr="006C1996">
        <w:rPr>
          <w:rFonts w:eastAsia="Times New Roman" w:cs="Times New Roman"/>
          <w:szCs w:val="28"/>
        </w:rPr>
        <w:t xml:space="preserve">cần phải thực hiện tốt “Nguyên tắc 3T” là: Phân loại (Triage), điều trị (Treatment) và vận chuyển (Transport). </w:t>
      </w:r>
    </w:p>
    <w:p w:rsidR="004C3A61" w:rsidRDefault="004C3A61" w:rsidP="0075393A">
      <w:pPr>
        <w:shd w:val="clear" w:color="auto" w:fill="FFFFFF"/>
        <w:ind w:firstLine="567"/>
        <w:jc w:val="both"/>
        <w:textAlignment w:val="baseline"/>
        <w:rPr>
          <w:rFonts w:eastAsia="Times New Roman" w:cs="Times New Roman"/>
          <w:szCs w:val="28"/>
        </w:rPr>
      </w:pPr>
      <w:r w:rsidRPr="006C1996">
        <w:rPr>
          <w:rFonts w:eastAsia="Times New Roman" w:cs="Times New Roman"/>
          <w:szCs w:val="28"/>
        </w:rPr>
        <w:t xml:space="preserve">Mục tiêu của đáp ứng y tế tại hiện trường khi thảm họa xảy ra là thực hiện 6 nhiệm vụ cấp cứu trước bệnh viện theo biểu tượng cấp cứu quốc tế (Ngôi sao sự sống-Star of life). Nội dung 6 nhiệm vụ trên biểu tượng là: phát hiện sớm (số 1); </w:t>
      </w:r>
      <w:r w:rsidR="00965E8A" w:rsidRPr="006C1996">
        <w:rPr>
          <w:rFonts w:eastAsia="Times New Roman" w:cs="Times New Roman"/>
          <w:szCs w:val="28"/>
        </w:rPr>
        <w:t xml:space="preserve">đáp ứng kịp thời </w:t>
      </w:r>
      <w:r w:rsidRPr="006C1996">
        <w:rPr>
          <w:rFonts w:eastAsia="Times New Roman" w:cs="Times New Roman"/>
          <w:szCs w:val="28"/>
        </w:rPr>
        <w:t xml:space="preserve">(số 2); </w:t>
      </w:r>
      <w:r w:rsidR="00965E8A" w:rsidRPr="006C1996">
        <w:rPr>
          <w:rFonts w:eastAsia="Times New Roman" w:cs="Times New Roman"/>
          <w:szCs w:val="28"/>
        </w:rPr>
        <w:t xml:space="preserve">báo cáo nhanh </w:t>
      </w:r>
      <w:r w:rsidRPr="006C1996">
        <w:rPr>
          <w:rFonts w:eastAsia="Times New Roman" w:cs="Times New Roman"/>
          <w:szCs w:val="28"/>
        </w:rPr>
        <w:t>(số 3); chăm sóc tại hiện trường (số 4); chăm sóc trên đường vận chuyển (số 5); chuyển nạn nhân đến nơi cấp cứu, điều trị (số 6).</w:t>
      </w:r>
    </w:p>
    <w:p w:rsidR="00437BED" w:rsidRDefault="00A337D2" w:rsidP="0075393A">
      <w:pPr>
        <w:shd w:val="clear" w:color="auto" w:fill="FFFFFF"/>
        <w:ind w:firstLine="567"/>
        <w:jc w:val="both"/>
        <w:textAlignment w:val="baseline"/>
        <w:rPr>
          <w:rFonts w:eastAsia="Times New Roman" w:cs="Times New Roman"/>
          <w:color w:val="333333"/>
          <w:szCs w:val="28"/>
        </w:rPr>
      </w:pPr>
      <w:r w:rsidRPr="00A337D2">
        <w:rPr>
          <w:rFonts w:eastAsia="Times New Roman" w:cs="Times New Roman"/>
          <w:color w:val="333333"/>
          <w:szCs w:val="28"/>
        </w:rPr>
        <w:t xml:space="preserve">Để thực hiện được 6 nhiệm vụ trên, công tác phân loại nạn nhân tại hiện trường đóng vai trò rất quan trọng với mục đích là “phải xử lý nhanh và tốt nhất cho số nạn nhân lớn nhất”. Việc phân loại nạn nhân thực hiện theo 4 nguyên tắc là: nhanh chóng; ưu tiên cứu cấp và giải thoát nạn nhân; phân loại và tiên lượng chính xác; bình tĩnh khi phân loại. </w:t>
      </w:r>
    </w:p>
    <w:p w:rsidR="00A337D2" w:rsidRPr="00A337D2" w:rsidRDefault="00A337D2" w:rsidP="0075393A">
      <w:pPr>
        <w:shd w:val="clear" w:color="auto" w:fill="FFFFFF"/>
        <w:ind w:firstLine="567"/>
        <w:jc w:val="both"/>
        <w:textAlignment w:val="baseline"/>
        <w:rPr>
          <w:rFonts w:eastAsia="Times New Roman" w:cs="Times New Roman"/>
          <w:color w:val="333333"/>
          <w:szCs w:val="28"/>
        </w:rPr>
      </w:pPr>
      <w:r w:rsidRPr="00A337D2">
        <w:rPr>
          <w:rFonts w:eastAsia="Times New Roman" w:cs="Times New Roman"/>
          <w:color w:val="333333"/>
          <w:szCs w:val="28"/>
        </w:rPr>
        <w:t>Các nạn nhân được phân loại theo các dạng sau:</w:t>
      </w:r>
    </w:p>
    <w:p w:rsidR="00A337D2" w:rsidRPr="00A337D2" w:rsidRDefault="00A337D2" w:rsidP="0075393A">
      <w:pPr>
        <w:shd w:val="clear" w:color="auto" w:fill="FFFFFF"/>
        <w:ind w:firstLine="567"/>
        <w:jc w:val="both"/>
        <w:textAlignment w:val="baseline"/>
        <w:rPr>
          <w:rFonts w:eastAsia="Times New Roman" w:cs="Times New Roman"/>
          <w:color w:val="333333"/>
          <w:szCs w:val="28"/>
        </w:rPr>
      </w:pPr>
      <w:r w:rsidRPr="00A337D2">
        <w:rPr>
          <w:rFonts w:eastAsia="Times New Roman" w:cs="Times New Roman"/>
          <w:color w:val="333333"/>
          <w:szCs w:val="28"/>
        </w:rPr>
        <w:t>Phân loại tại chỗ nơi xảy ra (phân loại lần đầu tiên): Nạn nhân cần được phân loại theo dạng “khẩn cấp” và “không khẩn cấp”, nhằm nhanh chóng đưa được nạn nhân ra khỏi hiện trường.  </w:t>
      </w:r>
    </w:p>
    <w:p w:rsidR="00A337D2" w:rsidRPr="000438ED" w:rsidRDefault="00A337D2" w:rsidP="0075393A">
      <w:pPr>
        <w:shd w:val="clear" w:color="auto" w:fill="FFFFFF"/>
        <w:ind w:firstLine="567"/>
        <w:jc w:val="both"/>
        <w:textAlignment w:val="baseline"/>
        <w:rPr>
          <w:rFonts w:eastAsia="Times New Roman" w:cs="Times New Roman"/>
          <w:color w:val="333333"/>
          <w:spacing w:val="-4"/>
          <w:szCs w:val="28"/>
        </w:rPr>
      </w:pPr>
      <w:r w:rsidRPr="000438ED">
        <w:rPr>
          <w:rFonts w:eastAsia="Times New Roman" w:cs="Times New Roman"/>
          <w:color w:val="333333"/>
          <w:spacing w:val="-4"/>
          <w:szCs w:val="28"/>
        </w:rPr>
        <w:lastRenderedPageBreak/>
        <w:t>Phân loại tại vị trí tập trung nạn nhân để xử lý y tế (lần 2): Thực hiện kết hợp giữa phương pháp triệu chứng ưu tiên với phương pháp gắn ký hiệu màu cho nạn nhân: Đỏ - xử lý ngay lập tức để cứu sống; Vàng - có thể trì hoãn, cần xử lý y tế nhưng thực hiện sau; Xanh - nạn nhân bị nhẹ; Đen - nạn nhân đã tử vong.</w:t>
      </w:r>
    </w:p>
    <w:p w:rsidR="00E74A92" w:rsidRDefault="00A337D2" w:rsidP="0075393A">
      <w:pPr>
        <w:shd w:val="clear" w:color="auto" w:fill="FFFFFF"/>
        <w:ind w:firstLine="567"/>
        <w:jc w:val="both"/>
        <w:textAlignment w:val="baseline"/>
        <w:rPr>
          <w:rFonts w:eastAsia="Times New Roman" w:cs="Times New Roman"/>
          <w:color w:val="333333"/>
          <w:szCs w:val="28"/>
        </w:rPr>
      </w:pPr>
      <w:r w:rsidRPr="00A337D2">
        <w:rPr>
          <w:rFonts w:eastAsia="Times New Roman" w:cs="Times New Roman"/>
          <w:color w:val="333333"/>
          <w:szCs w:val="28"/>
        </w:rPr>
        <w:t>Phân loại vận chuyển nạn nhân (lần 3):Bố trí vận chuyển theo thứ tự ký hiệu màu: Đỏ (càng nhanh càng tốt); Vàng (không đe dọa tính mạng); Xanh (có thể đi bộ); Đen (đã tử vong; chuyển nhà xác, hoặc nơi quy định để thực hiện thủ tục pháp y).   </w:t>
      </w:r>
    </w:p>
    <w:p w:rsidR="008360A8" w:rsidRPr="00E74A92" w:rsidRDefault="00357E27" w:rsidP="0075393A">
      <w:pPr>
        <w:shd w:val="clear" w:color="auto" w:fill="FFFFFF"/>
        <w:ind w:firstLine="567"/>
        <w:jc w:val="both"/>
        <w:textAlignment w:val="baseline"/>
        <w:rPr>
          <w:rFonts w:eastAsia="Times New Roman" w:cs="Times New Roman"/>
          <w:color w:val="333333"/>
          <w:szCs w:val="28"/>
        </w:rPr>
      </w:pPr>
      <w:r>
        <w:rPr>
          <w:rFonts w:eastAsia="Times New Roman" w:cs="Times New Roman"/>
          <w:szCs w:val="28"/>
        </w:rPr>
        <w:t xml:space="preserve"> Tổ chức hệ thống cứu chữa- vận chuyển bao gồm các trạm-đội cứu chữa dã chiến và hệ thống các bệnh viện theo phân tuyến. Việc huy động các chuyên gia </w:t>
      </w:r>
      <w:r w:rsidR="005835D0">
        <w:rPr>
          <w:rFonts w:eastAsia="Times New Roman" w:cs="Times New Roman"/>
          <w:szCs w:val="28"/>
        </w:rPr>
        <w:t>là cần thiết</w:t>
      </w:r>
      <w:r w:rsidR="00A8417A">
        <w:rPr>
          <w:rFonts w:eastAsia="Times New Roman" w:cs="Times New Roman"/>
          <w:szCs w:val="28"/>
        </w:rPr>
        <w:t xml:space="preserve"> trên cơ sở các loại hình tổn thương trong tai nạn bay được mô tả trên đây</w:t>
      </w:r>
      <w:r w:rsidR="005835D0">
        <w:rPr>
          <w:rFonts w:eastAsia="Times New Roman" w:cs="Times New Roman"/>
          <w:szCs w:val="28"/>
        </w:rPr>
        <w:t>. Phải đ</w:t>
      </w:r>
      <w:r w:rsidR="008360A8">
        <w:t>ảm bảo tính liên tục về nguồn lực y tế đáp ứng cho thảm họa hàng không.</w:t>
      </w:r>
      <w:r w:rsidR="00574C8C">
        <w:t xml:space="preserve">Công tác vận chuyển cần được xem xét toàn diện trên các khía cạnh về vị trí địa lý, giao thông, năng lực vận chuyển của địa phương và mạng lưới cơ sở y tế tham gia ứng phó thảm họa. </w:t>
      </w:r>
    </w:p>
    <w:p w:rsidR="008326AF" w:rsidRDefault="008326AF" w:rsidP="0075393A">
      <w:pPr>
        <w:ind w:firstLine="567"/>
        <w:jc w:val="both"/>
      </w:pPr>
      <w:r>
        <w:t xml:space="preserve">Theo dõi </w:t>
      </w:r>
      <w:r w:rsidR="001915FA">
        <w:t>an toàn</w:t>
      </w:r>
      <w:r>
        <w:t xml:space="preserve"> môi trường và tiến hành khử nhiễm </w:t>
      </w:r>
      <w:r w:rsidR="005835D0">
        <w:t>được thực hiện bởi lực lượng y tế dự phòng.</w:t>
      </w:r>
      <w:r w:rsidR="00437BED">
        <w:t>Các hoạt động chuyên môn về pháp y đóng vai trò quan trọng trong điều tra tai nạn bay</w:t>
      </w:r>
      <w:r w:rsidR="007C50C2">
        <w:t xml:space="preserve"> có tử vong, và được thực hiện bởi lực lượng chuyên trách</w:t>
      </w:r>
      <w:r w:rsidR="00A24D2A">
        <w:t xml:space="preserve">. Việc nhận dạng các nạn nhân đôi khi kéo dài sau tai nạn bay, nhận dạng thông tin nạn nhân thông qua xét nghiệm đối chiếu </w:t>
      </w:r>
      <w:r w:rsidR="003D5C98">
        <w:t>DNA với thân nhân được coi là biện pháp chủ yếu.</w:t>
      </w:r>
      <w:r w:rsidR="00E30216">
        <w:t xml:space="preserve"> Trong các sự cố/tai nạn bay do nguyên nhân khủng bố hoặc cướp máy bay, các </w:t>
      </w:r>
      <w:r w:rsidR="009B51F3">
        <w:t>hoạt động pháp y giúp phân loại và đánh giá nguyên nhân phục vụ điều tra về mặt an ninh, an toàn hàng không.</w:t>
      </w:r>
    </w:p>
    <w:p w:rsidR="008326AF" w:rsidRDefault="008326AF" w:rsidP="0075393A">
      <w:pPr>
        <w:ind w:firstLine="567"/>
        <w:jc w:val="both"/>
      </w:pPr>
      <w:r>
        <w:t xml:space="preserve">Cung cấp </w:t>
      </w:r>
      <w:r w:rsidR="001915FA">
        <w:t xml:space="preserve">dịch vụ </w:t>
      </w:r>
      <w:r>
        <w:t xml:space="preserve">thông tin liên lạc rủi ro và tư vấn </w:t>
      </w:r>
      <w:r w:rsidR="001915FA">
        <w:t>y tế</w:t>
      </w:r>
      <w:r w:rsidR="00267B4B">
        <w:t xml:space="preserve"> đóng vai trò quan trọng để xây dựng mối liên hệ giữa </w:t>
      </w:r>
      <w:r w:rsidR="00386AB4">
        <w:t xml:space="preserve">cơ quan ứng phó thảm họa và thân nhân người bị nạn, giúp ổn định tâm lý cho </w:t>
      </w:r>
      <w:r w:rsidR="001E0200">
        <w:t>thân nhân</w:t>
      </w:r>
      <w:r w:rsidR="006D5267">
        <w:t xml:space="preserve"> và định hướng truyền thông</w:t>
      </w:r>
      <w:r w:rsidR="001915FA">
        <w:t>.</w:t>
      </w:r>
      <w:r w:rsidR="00E05E33">
        <w:t xml:space="preserve">Chăm sóc y tế cho thân nhân phi hành đoàn, hành khách là </w:t>
      </w:r>
      <w:r w:rsidR="00541F3D">
        <w:t xml:space="preserve">một phần của đảm bảo y tế cho thảm họa hàng không, với việc thiết lập các tổ, nhóm nhân viên y tế </w:t>
      </w:r>
      <w:r w:rsidR="00E47277">
        <w:t>chăm sóc giảm nhẹ, điều trị các chấn thương tâm lý, rối loạn tâm lý cấp tính và suy nhược.</w:t>
      </w:r>
      <w:r w:rsidR="00744B2E">
        <w:t xml:space="preserve"> Năm 1996, quốc hội Hoa Kỳ đã thông qua Đạo luật hỗ trợ</w:t>
      </w:r>
      <w:r w:rsidR="001A0041">
        <w:t xml:space="preserve"> gia đình trong thảm họa Hàng không, trong đó NTSB được yêu cầu phải đáp ứng nhu cầu của các gia đình tang quyến. Năm 1998, là một phần của Kế hoạch phản ứng chung của Liên bang, NTSB đã chỉ định Hội chữ thập đỏ Mỹ (ARC) là cơ quan chính thức chịu trách nhiệm an ủi và tư vấn cho các gia đình và nạn nhân của thảm họa máy bay.</w:t>
      </w:r>
      <w:r w:rsidR="00BE39B4">
        <w:t xml:space="preserve"> ICAO có hướng dẫn chung về </w:t>
      </w:r>
      <w:r w:rsidR="007922BC">
        <w:t>trợ giúp và chính sách đối với nạn nhân thảm họa Hàng không</w:t>
      </w:r>
      <w:r w:rsidR="000C0909">
        <w:t xml:space="preserve"> và thân nhân của họ (DOC 9962, DOC 9937/Anex 13).</w:t>
      </w:r>
      <w:r w:rsidR="00783A19">
        <w:t>[3],[6]</w:t>
      </w:r>
    </w:p>
    <w:p w:rsidR="008326AF" w:rsidRPr="00EA5050" w:rsidRDefault="00484F4D" w:rsidP="0075393A">
      <w:pPr>
        <w:ind w:firstLine="567"/>
        <w:jc w:val="both"/>
        <w:rPr>
          <w:b/>
        </w:rPr>
      </w:pPr>
      <w:r w:rsidRPr="00EA5050">
        <w:rPr>
          <w:b/>
        </w:rPr>
        <w:t xml:space="preserve">* Giai đoạn </w:t>
      </w:r>
      <w:r w:rsidR="008326AF" w:rsidRPr="00EA5050">
        <w:rPr>
          <w:b/>
        </w:rPr>
        <w:t>Phục hồi</w:t>
      </w:r>
      <w:r w:rsidRPr="00EA5050">
        <w:rPr>
          <w:b/>
        </w:rPr>
        <w:t xml:space="preserve"> thảm họa</w:t>
      </w:r>
    </w:p>
    <w:p w:rsidR="006B055C" w:rsidRDefault="008B35A1" w:rsidP="00587982">
      <w:pPr>
        <w:ind w:firstLine="567"/>
        <w:jc w:val="both"/>
        <w:rPr>
          <w:rFonts w:cs="Times New Roman"/>
          <w:b/>
          <w:szCs w:val="28"/>
        </w:rPr>
      </w:pPr>
      <w:r>
        <w:t>Bao gồm c</w:t>
      </w:r>
      <w:r w:rsidR="008326AF">
        <w:t>ung cấp dịch vụ phục hồi chức năng cho các trường hợp chấn thương</w:t>
      </w:r>
      <w:r w:rsidR="004E7883">
        <w:t xml:space="preserve">, điều trị các tổn thương </w:t>
      </w:r>
      <w:r w:rsidR="0052292D">
        <w:t>cho các nạn nhân</w:t>
      </w:r>
      <w:r>
        <w:t>, c</w:t>
      </w:r>
      <w:r w:rsidR="008326AF">
        <w:t xml:space="preserve">ung cấp dịch vụ phục hồi tâm </w:t>
      </w:r>
      <w:r w:rsidR="008326AF">
        <w:lastRenderedPageBreak/>
        <w:t>lý cho những người sống sót</w:t>
      </w:r>
      <w:r w:rsidR="00C5171A">
        <w:t>.Các nội dung chuyên môn này được thực hiện ở các bệnh viện.</w:t>
      </w:r>
      <w:bookmarkStart w:id="1" w:name="_GoBack"/>
      <w:bookmarkEnd w:id="1"/>
    </w:p>
    <w:p w:rsidR="008326AF" w:rsidRPr="00C617F0" w:rsidRDefault="00EF5D0A" w:rsidP="0075393A">
      <w:pPr>
        <w:ind w:firstLine="567"/>
        <w:jc w:val="both"/>
        <w:rPr>
          <w:rFonts w:cs="Times New Roman"/>
          <w:b/>
          <w:szCs w:val="28"/>
        </w:rPr>
      </w:pPr>
      <w:r>
        <w:rPr>
          <w:rFonts w:cs="Times New Roman"/>
          <w:b/>
          <w:szCs w:val="28"/>
        </w:rPr>
        <w:t>TÀI LIỆU THAM KHẢO</w:t>
      </w:r>
    </w:p>
    <w:p w:rsidR="009B288B" w:rsidRPr="009B288B" w:rsidRDefault="009B288B" w:rsidP="003F4110">
      <w:pPr>
        <w:pStyle w:val="ListParagraph"/>
        <w:numPr>
          <w:ilvl w:val="0"/>
          <w:numId w:val="1"/>
        </w:numPr>
        <w:ind w:left="0" w:firstLine="0"/>
        <w:jc w:val="both"/>
        <w:rPr>
          <w:rFonts w:cs="Times New Roman"/>
          <w:szCs w:val="28"/>
        </w:rPr>
      </w:pPr>
      <w:r w:rsidRPr="00151349">
        <w:rPr>
          <w:szCs w:val="28"/>
        </w:rPr>
        <w:t>Nguyễn Minh Hiếu (2018). Đáp ứng y tế trong thảm họa theo khuyến cáo của Liên Hợp Quốc. Tạp chí Hậu cần Quân sự, 2018</w:t>
      </w:r>
      <w:r>
        <w:rPr>
          <w:szCs w:val="28"/>
        </w:rPr>
        <w:t xml:space="preserve">. </w:t>
      </w:r>
    </w:p>
    <w:p w:rsidR="009B288B" w:rsidRPr="009B288B" w:rsidRDefault="009B288B" w:rsidP="003F4110">
      <w:pPr>
        <w:pStyle w:val="ListParagraph"/>
        <w:ind w:left="0"/>
        <w:rPr>
          <w:rFonts w:eastAsia="Times New Roman"/>
          <w:b/>
          <w:bCs/>
          <w:kern w:val="36"/>
          <w:sz w:val="39"/>
          <w:szCs w:val="39"/>
        </w:rPr>
      </w:pPr>
      <w:r w:rsidRPr="009B288B">
        <w:rPr>
          <w:szCs w:val="28"/>
        </w:rPr>
        <w:t>http://hc.qdnd.vn/nghien-cuu-kinh-nghiem-trao-doi/dap-ung-y-te-trong-tham-hoa-theo-khuyen-cao-cua-lien-hop-quoc-481524</w:t>
      </w:r>
    </w:p>
    <w:p w:rsidR="00895D55" w:rsidRDefault="00D56357" w:rsidP="003F4110">
      <w:pPr>
        <w:pStyle w:val="ListParagraph"/>
        <w:numPr>
          <w:ilvl w:val="0"/>
          <w:numId w:val="1"/>
        </w:numPr>
        <w:ind w:left="0" w:firstLine="0"/>
        <w:jc w:val="both"/>
        <w:rPr>
          <w:rFonts w:cs="Times New Roman"/>
          <w:szCs w:val="28"/>
        </w:rPr>
      </w:pPr>
      <w:r w:rsidRPr="00151349">
        <w:rPr>
          <w:rFonts w:cs="Times New Roman"/>
          <w:szCs w:val="28"/>
        </w:rPr>
        <w:t xml:space="preserve">Gregory R. Cittone (2016). </w:t>
      </w:r>
      <w:r w:rsidR="00736FFA" w:rsidRPr="00151349">
        <w:rPr>
          <w:rFonts w:cs="Times New Roman"/>
          <w:szCs w:val="28"/>
        </w:rPr>
        <w:t xml:space="preserve">Chapter 1: </w:t>
      </w:r>
      <w:r w:rsidRPr="00151349">
        <w:rPr>
          <w:rFonts w:cs="Times New Roman"/>
          <w:szCs w:val="28"/>
        </w:rPr>
        <w:t xml:space="preserve">Introduction to disaster medicine. </w:t>
      </w:r>
      <w:r w:rsidR="001416A9" w:rsidRPr="00151349">
        <w:rPr>
          <w:rFonts w:cs="Times New Roman"/>
          <w:szCs w:val="28"/>
        </w:rPr>
        <w:t>Cittone’s Disaster Medicine, 2</w:t>
      </w:r>
      <w:r w:rsidR="001416A9" w:rsidRPr="00151349">
        <w:rPr>
          <w:rFonts w:cs="Times New Roman"/>
          <w:szCs w:val="28"/>
          <w:vertAlign w:val="superscript"/>
        </w:rPr>
        <w:t>nd</w:t>
      </w:r>
      <w:r w:rsidR="001416A9" w:rsidRPr="00151349">
        <w:rPr>
          <w:rFonts w:cs="Times New Roman"/>
          <w:szCs w:val="28"/>
        </w:rPr>
        <w:t xml:space="preserve"> Ed. Elsevier</w:t>
      </w:r>
      <w:r w:rsidR="00736FFA" w:rsidRPr="00151349">
        <w:rPr>
          <w:rFonts w:cs="Times New Roman"/>
          <w:szCs w:val="28"/>
        </w:rPr>
        <w:t xml:space="preserve">, 2016. </w:t>
      </w:r>
      <w:r w:rsidR="00D4357E" w:rsidRPr="00151349">
        <w:rPr>
          <w:rFonts w:cs="Times New Roman"/>
          <w:szCs w:val="28"/>
        </w:rPr>
        <w:t>p2-5</w:t>
      </w:r>
    </w:p>
    <w:p w:rsidR="00C97E9C" w:rsidRPr="00151349" w:rsidRDefault="00C97E9C" w:rsidP="003F4110">
      <w:pPr>
        <w:pStyle w:val="ListParagraph"/>
        <w:numPr>
          <w:ilvl w:val="0"/>
          <w:numId w:val="1"/>
        </w:numPr>
        <w:ind w:left="0" w:firstLine="0"/>
        <w:jc w:val="both"/>
        <w:rPr>
          <w:rFonts w:cs="Times New Roman"/>
          <w:szCs w:val="28"/>
        </w:rPr>
      </w:pPr>
      <w:r>
        <w:rPr>
          <w:rFonts w:cs="Times New Roman"/>
          <w:szCs w:val="28"/>
        </w:rPr>
        <w:t>ICAO (</w:t>
      </w:r>
      <w:r w:rsidR="00E40EF7">
        <w:rPr>
          <w:rFonts w:cs="Times New Roman"/>
          <w:szCs w:val="28"/>
        </w:rPr>
        <w:t>2016). Anex 13 (11</w:t>
      </w:r>
      <w:r w:rsidR="00184345" w:rsidRPr="00184345">
        <w:rPr>
          <w:rFonts w:cs="Times New Roman"/>
          <w:szCs w:val="28"/>
          <w:vertAlign w:val="superscript"/>
        </w:rPr>
        <w:t>th</w:t>
      </w:r>
      <w:r w:rsidR="00184345">
        <w:rPr>
          <w:rFonts w:cs="Times New Roman"/>
          <w:szCs w:val="28"/>
        </w:rPr>
        <w:t xml:space="preserve"> Ed): Aircraft Accident and Incident Investigation. International </w:t>
      </w:r>
      <w:r w:rsidR="00E95E47">
        <w:rPr>
          <w:rFonts w:cs="Times New Roman"/>
          <w:szCs w:val="28"/>
        </w:rPr>
        <w:t>Civil Aviation Organization. 2016.</w:t>
      </w:r>
    </w:p>
    <w:p w:rsidR="00226878" w:rsidRPr="001E4378" w:rsidRDefault="00226878" w:rsidP="003F4110">
      <w:pPr>
        <w:pStyle w:val="ListParagraph"/>
        <w:numPr>
          <w:ilvl w:val="0"/>
          <w:numId w:val="1"/>
        </w:numPr>
        <w:ind w:left="0" w:firstLine="0"/>
        <w:jc w:val="both"/>
        <w:rPr>
          <w:rFonts w:cs="Times New Roman"/>
          <w:szCs w:val="28"/>
        </w:rPr>
      </w:pPr>
      <w:r w:rsidRPr="00151349">
        <w:rPr>
          <w:rFonts w:cs="Times New Roman"/>
          <w:bCs/>
          <w:szCs w:val="28"/>
        </w:rPr>
        <w:t xml:space="preserve">Peter John Cuenca, Jimmy Cooper, Paul T. Mayer, John McManus (2012). Aviation Disasters. Oxford handbook of Disaster Medicine. </w:t>
      </w:r>
      <w:r w:rsidRPr="00151349">
        <w:rPr>
          <w:rFonts w:cs="Times New Roman"/>
          <w:color w:val="231F20"/>
          <w:szCs w:val="28"/>
        </w:rPr>
        <w:t>Oxford University Press, 2012. 637-640</w:t>
      </w:r>
      <w:r w:rsidR="001E4378">
        <w:rPr>
          <w:rFonts w:cs="Times New Roman"/>
          <w:color w:val="231F20"/>
          <w:szCs w:val="28"/>
        </w:rPr>
        <w:t>.</w:t>
      </w:r>
    </w:p>
    <w:p w:rsidR="001E4378" w:rsidRPr="00151349" w:rsidRDefault="001E4378" w:rsidP="003F4110">
      <w:pPr>
        <w:pStyle w:val="ListParagraph"/>
        <w:numPr>
          <w:ilvl w:val="0"/>
          <w:numId w:val="1"/>
        </w:numPr>
        <w:ind w:left="0" w:firstLine="0"/>
        <w:jc w:val="both"/>
        <w:rPr>
          <w:rFonts w:cs="Times New Roman"/>
          <w:szCs w:val="28"/>
        </w:rPr>
      </w:pPr>
      <w:r>
        <w:rPr>
          <w:rFonts w:cs="Times New Roman"/>
          <w:szCs w:val="28"/>
        </w:rPr>
        <w:t>BN Gokhale (</w:t>
      </w:r>
      <w:r w:rsidR="005F3900">
        <w:rPr>
          <w:rFonts w:cs="Times New Roman"/>
          <w:szCs w:val="28"/>
        </w:rPr>
        <w:t xml:space="preserve">2010). Report on </w:t>
      </w:r>
      <w:r w:rsidR="00433CBB">
        <w:rPr>
          <w:rFonts w:cs="Times New Roman"/>
          <w:szCs w:val="28"/>
        </w:rPr>
        <w:t>accident to Air India Express Boeing 737-800</w:t>
      </w:r>
      <w:r w:rsidR="006F4A07">
        <w:rPr>
          <w:rFonts w:cs="Times New Roman"/>
          <w:szCs w:val="28"/>
        </w:rPr>
        <w:t xml:space="preserve"> Aircraft VT-AVX on 22</w:t>
      </w:r>
      <w:r w:rsidR="006F4A07" w:rsidRPr="006F4A07">
        <w:rPr>
          <w:rFonts w:cs="Times New Roman"/>
          <w:szCs w:val="28"/>
          <w:vertAlign w:val="superscript"/>
        </w:rPr>
        <w:t>nd</w:t>
      </w:r>
      <w:r w:rsidR="00E75120">
        <w:rPr>
          <w:rFonts w:cs="Times New Roman"/>
          <w:szCs w:val="28"/>
        </w:rPr>
        <w:t>May 2010 at Mangalore. Gover</w:t>
      </w:r>
      <w:r w:rsidR="00301A8B">
        <w:rPr>
          <w:rFonts w:cs="Times New Roman"/>
          <w:szCs w:val="28"/>
        </w:rPr>
        <w:t>n</w:t>
      </w:r>
      <w:r w:rsidR="00E75120">
        <w:rPr>
          <w:rFonts w:cs="Times New Roman"/>
          <w:szCs w:val="28"/>
        </w:rPr>
        <w:t>men</w:t>
      </w:r>
      <w:r w:rsidR="00301A8B">
        <w:rPr>
          <w:rFonts w:cs="Times New Roman"/>
          <w:szCs w:val="28"/>
        </w:rPr>
        <w:t>t of India, Ministry of Civil Aviation.</w:t>
      </w:r>
    </w:p>
    <w:p w:rsidR="001E6FA6" w:rsidRPr="00151349" w:rsidRDefault="00D4357E" w:rsidP="003F4110">
      <w:pPr>
        <w:pStyle w:val="ListParagraph"/>
        <w:numPr>
          <w:ilvl w:val="0"/>
          <w:numId w:val="1"/>
        </w:numPr>
        <w:ind w:left="0" w:firstLine="0"/>
        <w:jc w:val="both"/>
        <w:rPr>
          <w:rFonts w:cs="Times New Roman"/>
          <w:szCs w:val="28"/>
        </w:rPr>
      </w:pPr>
      <w:r w:rsidRPr="00151349">
        <w:rPr>
          <w:rFonts w:cs="Times New Roman"/>
          <w:szCs w:val="28"/>
        </w:rPr>
        <w:t>Peter B. Pruit, Paul D. Biddinger</w:t>
      </w:r>
      <w:r w:rsidR="00EE446C" w:rsidRPr="00151349">
        <w:rPr>
          <w:rFonts w:cs="Times New Roman"/>
          <w:szCs w:val="28"/>
        </w:rPr>
        <w:t xml:space="preserve"> (2016). Chapter 184: Aircraft crash preparedness and response</w:t>
      </w:r>
      <w:r w:rsidR="00A002C0" w:rsidRPr="00151349">
        <w:rPr>
          <w:rFonts w:cs="Times New Roman"/>
          <w:szCs w:val="28"/>
        </w:rPr>
        <w:t>. Cittone’s Disaster Medicine, 2</w:t>
      </w:r>
      <w:r w:rsidR="00A002C0" w:rsidRPr="00151349">
        <w:rPr>
          <w:rFonts w:cs="Times New Roman"/>
          <w:szCs w:val="28"/>
          <w:vertAlign w:val="superscript"/>
        </w:rPr>
        <w:t>nd</w:t>
      </w:r>
      <w:r w:rsidR="00A002C0" w:rsidRPr="00151349">
        <w:rPr>
          <w:rFonts w:cs="Times New Roman"/>
          <w:szCs w:val="28"/>
        </w:rPr>
        <w:t xml:space="preserve"> Ed. Elsevier, 2016. p 896-889</w:t>
      </w:r>
    </w:p>
    <w:p w:rsidR="007103A0" w:rsidRPr="007103A0" w:rsidRDefault="00A002C0" w:rsidP="003F4110">
      <w:pPr>
        <w:pStyle w:val="ListParagraph"/>
        <w:numPr>
          <w:ilvl w:val="0"/>
          <w:numId w:val="1"/>
        </w:numPr>
        <w:ind w:left="0" w:firstLine="0"/>
        <w:jc w:val="both"/>
        <w:rPr>
          <w:rStyle w:val="fontstyle01"/>
          <w:rFonts w:ascii="Times New Roman" w:hAnsi="Times New Roman" w:cs="Times New Roman"/>
          <w:b w:val="0"/>
          <w:bCs w:val="0"/>
          <w:color w:val="auto"/>
          <w:sz w:val="28"/>
          <w:szCs w:val="28"/>
        </w:rPr>
      </w:pPr>
      <w:r w:rsidRPr="00151349">
        <w:rPr>
          <w:rFonts w:cs="Times New Roman"/>
          <w:szCs w:val="28"/>
        </w:rPr>
        <w:t>Julio</w:t>
      </w:r>
      <w:r w:rsidR="00CF7845" w:rsidRPr="00151349">
        <w:rPr>
          <w:rFonts w:cs="Times New Roman"/>
          <w:szCs w:val="28"/>
        </w:rPr>
        <w:t xml:space="preserve"> Rafael Lairet, David E. Hogan (2007). Air Crash Disasters. Disaster Medicine, 2</w:t>
      </w:r>
      <w:r w:rsidR="00CF7845" w:rsidRPr="00151349">
        <w:rPr>
          <w:rFonts w:cs="Times New Roman"/>
          <w:szCs w:val="28"/>
          <w:vertAlign w:val="superscript"/>
        </w:rPr>
        <w:t>nd</w:t>
      </w:r>
      <w:r w:rsidR="00CF7845" w:rsidRPr="00151349">
        <w:rPr>
          <w:rFonts w:cs="Times New Roman"/>
          <w:szCs w:val="28"/>
        </w:rPr>
        <w:t xml:space="preserve"> Ed</w:t>
      </w:r>
      <w:r w:rsidR="008F708F" w:rsidRPr="00151349">
        <w:rPr>
          <w:rFonts w:cs="Times New Roman"/>
          <w:szCs w:val="28"/>
        </w:rPr>
        <w:t xml:space="preserve">. </w:t>
      </w:r>
      <w:r w:rsidR="00CA4B8B" w:rsidRPr="00151349">
        <w:rPr>
          <w:rStyle w:val="fontstyle01"/>
          <w:rFonts w:ascii="Times New Roman" w:hAnsi="Times New Roman" w:cs="Times New Roman"/>
          <w:b w:val="0"/>
          <w:sz w:val="28"/>
          <w:szCs w:val="28"/>
        </w:rPr>
        <w:t>Lippincot W&amp;W, 2007. 339-</w:t>
      </w:r>
      <w:r w:rsidR="001E6FA6" w:rsidRPr="00151349">
        <w:rPr>
          <w:rStyle w:val="fontstyle01"/>
          <w:rFonts w:ascii="Times New Roman" w:hAnsi="Times New Roman" w:cs="Times New Roman"/>
          <w:b w:val="0"/>
          <w:sz w:val="28"/>
          <w:szCs w:val="28"/>
        </w:rPr>
        <w:t>348.</w:t>
      </w:r>
    </w:p>
    <w:p w:rsidR="00737A00" w:rsidRPr="007103A0" w:rsidRDefault="00737A00" w:rsidP="003F4110">
      <w:pPr>
        <w:pStyle w:val="ListParagraph"/>
        <w:numPr>
          <w:ilvl w:val="0"/>
          <w:numId w:val="1"/>
        </w:numPr>
        <w:ind w:left="0" w:firstLine="0"/>
        <w:jc w:val="both"/>
        <w:rPr>
          <w:rStyle w:val="fontstyle01"/>
          <w:rFonts w:ascii="Times New Roman" w:hAnsi="Times New Roman" w:cs="Times New Roman"/>
          <w:b w:val="0"/>
          <w:bCs w:val="0"/>
          <w:color w:val="auto"/>
          <w:sz w:val="28"/>
          <w:szCs w:val="28"/>
        </w:rPr>
      </w:pPr>
      <w:r w:rsidRPr="007103A0">
        <w:rPr>
          <w:rFonts w:ascii="TimesNewRomanPS-BoldMT" w:hAnsi="TimesNewRomanPS-BoldMT"/>
          <w:bCs/>
          <w:color w:val="231F20"/>
          <w:szCs w:val="28"/>
        </w:rPr>
        <w:t xml:space="preserve">Surg Cdr SS Khanuja, Surg Cdr VP Baburaj (2008). </w:t>
      </w:r>
      <w:r w:rsidR="007103A0" w:rsidRPr="007103A0">
        <w:rPr>
          <w:rFonts w:ascii="TimesNewRomanPS-BoldMT" w:hAnsi="TimesNewRomanPS-BoldMT"/>
          <w:bCs/>
          <w:color w:val="231F20"/>
          <w:szCs w:val="28"/>
        </w:rPr>
        <w:t>Civil aircraft disaster management on naval air station:</w:t>
      </w:r>
      <w:r w:rsidR="007103A0" w:rsidRPr="007103A0">
        <w:rPr>
          <w:rFonts w:ascii="TimesNewRomanPS-BoldMT" w:hAnsi="TimesNewRomanPS-BoldMT"/>
          <w:bCs/>
          <w:color w:val="231F20"/>
          <w:szCs w:val="28"/>
        </w:rPr>
        <w:br/>
        <w:t>Challenges and concerns. IJASM 2008; 52(2): 65-70</w:t>
      </w:r>
      <w:r w:rsidR="003F4110">
        <w:rPr>
          <w:rFonts w:ascii="TimesNewRomanPS-BoldMT" w:hAnsi="TimesNewRomanPS-BoldMT"/>
          <w:bCs/>
          <w:color w:val="231F20"/>
          <w:szCs w:val="28"/>
        </w:rPr>
        <w:t>.</w:t>
      </w:r>
    </w:p>
    <w:sectPr w:rsidR="00737A00" w:rsidRPr="007103A0" w:rsidSect="00257A7C">
      <w:footerReference w:type="default" r:id="rId12"/>
      <w:pgSz w:w="11907" w:h="16840" w:code="9"/>
      <w:pgMar w:top="1247" w:right="851" w:bottom="1134" w:left="1985" w:header="720" w:footer="720" w:gutter="0"/>
      <w:cols w:space="720"/>
      <w:noEndnote/>
      <w:titlePg/>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vi Med" w:date="2019-03-20T10:32:00Z" w:initials="AM">
    <w:p w:rsidR="005D1B20" w:rsidRDefault="005D1B2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977D18" w15:done="0"/>
  <w15:commentEx w15:paraId="408422BC" w15:paraIdParent="0E977D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77D18" w16cid:durableId="203C9547"/>
  <w16cid:commentId w16cid:paraId="408422BC" w16cid:durableId="203C954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FAF" w:rsidRDefault="009E6FAF" w:rsidP="00BC4ADC">
      <w:pPr>
        <w:spacing w:before="0" w:after="0"/>
      </w:pPr>
      <w:r>
        <w:separator/>
      </w:r>
    </w:p>
  </w:endnote>
  <w:endnote w:type="continuationSeparator" w:id="1">
    <w:p w:rsidR="009E6FAF" w:rsidRDefault="009E6FAF" w:rsidP="00BC4AD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Aster-Bold">
    <w:altName w:val="Cambria"/>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107331"/>
      <w:docPartObj>
        <w:docPartGallery w:val="Page Numbers (Bottom of Page)"/>
        <w:docPartUnique/>
      </w:docPartObj>
    </w:sdtPr>
    <w:sdtEndPr>
      <w:rPr>
        <w:noProof/>
      </w:rPr>
    </w:sdtEndPr>
    <w:sdtContent>
      <w:p w:rsidR="005E14A1" w:rsidRDefault="00857269">
        <w:pPr>
          <w:pStyle w:val="Footer"/>
          <w:jc w:val="right"/>
        </w:pPr>
        <w:r>
          <w:fldChar w:fldCharType="begin"/>
        </w:r>
        <w:r w:rsidR="005E14A1">
          <w:instrText xml:space="preserve"> PAGE   \* MERGEFORMAT </w:instrText>
        </w:r>
        <w:r>
          <w:fldChar w:fldCharType="separate"/>
        </w:r>
        <w:r w:rsidR="00CC4B9B">
          <w:rPr>
            <w:noProof/>
          </w:rPr>
          <w:t>2</w:t>
        </w:r>
        <w:r>
          <w:rPr>
            <w:noProof/>
          </w:rPr>
          <w:fldChar w:fldCharType="end"/>
        </w:r>
      </w:p>
    </w:sdtContent>
  </w:sdt>
  <w:p w:rsidR="005E14A1" w:rsidRDefault="005E1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FAF" w:rsidRDefault="009E6FAF" w:rsidP="00BC4ADC">
      <w:pPr>
        <w:spacing w:before="0" w:after="0"/>
      </w:pPr>
      <w:r>
        <w:separator/>
      </w:r>
    </w:p>
  </w:footnote>
  <w:footnote w:type="continuationSeparator" w:id="1">
    <w:p w:rsidR="009E6FAF" w:rsidRDefault="009E6FAF" w:rsidP="00BC4AD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942F3"/>
    <w:multiLevelType w:val="hybridMultilevel"/>
    <w:tmpl w:val="DA322F04"/>
    <w:lvl w:ilvl="0" w:tplc="D4F2FC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i Med">
    <w15:presenceInfo w15:providerId="Windows Live" w15:userId="b16ca3630a52f1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A1694"/>
    <w:rsid w:val="00016E17"/>
    <w:rsid w:val="00022F96"/>
    <w:rsid w:val="00023988"/>
    <w:rsid w:val="000438ED"/>
    <w:rsid w:val="00046AAF"/>
    <w:rsid w:val="000549ED"/>
    <w:rsid w:val="00062E3E"/>
    <w:rsid w:val="00065A92"/>
    <w:rsid w:val="00075D2E"/>
    <w:rsid w:val="00075E73"/>
    <w:rsid w:val="00082D67"/>
    <w:rsid w:val="0008625D"/>
    <w:rsid w:val="00095882"/>
    <w:rsid w:val="000A3410"/>
    <w:rsid w:val="000A53C6"/>
    <w:rsid w:val="000A608A"/>
    <w:rsid w:val="000B543A"/>
    <w:rsid w:val="000B5E68"/>
    <w:rsid w:val="000C0909"/>
    <w:rsid w:val="000C698D"/>
    <w:rsid w:val="000D268B"/>
    <w:rsid w:val="000D410C"/>
    <w:rsid w:val="000D58B6"/>
    <w:rsid w:val="000E4607"/>
    <w:rsid w:val="000F133D"/>
    <w:rsid w:val="001224F3"/>
    <w:rsid w:val="00137DB5"/>
    <w:rsid w:val="001416A9"/>
    <w:rsid w:val="00151349"/>
    <w:rsid w:val="00165918"/>
    <w:rsid w:val="00184345"/>
    <w:rsid w:val="00184650"/>
    <w:rsid w:val="001903F4"/>
    <w:rsid w:val="001915FA"/>
    <w:rsid w:val="001A0041"/>
    <w:rsid w:val="001A2B01"/>
    <w:rsid w:val="001D7286"/>
    <w:rsid w:val="001E0200"/>
    <w:rsid w:val="001E4378"/>
    <w:rsid w:val="001E6A4F"/>
    <w:rsid w:val="001E6FA6"/>
    <w:rsid w:val="001E7B90"/>
    <w:rsid w:val="001F4F45"/>
    <w:rsid w:val="001F4F62"/>
    <w:rsid w:val="00207C8A"/>
    <w:rsid w:val="00216A69"/>
    <w:rsid w:val="00221038"/>
    <w:rsid w:val="00226878"/>
    <w:rsid w:val="00231B71"/>
    <w:rsid w:val="00231F6F"/>
    <w:rsid w:val="002361EB"/>
    <w:rsid w:val="00256B43"/>
    <w:rsid w:val="00257A7C"/>
    <w:rsid w:val="00265677"/>
    <w:rsid w:val="00265881"/>
    <w:rsid w:val="00267B4B"/>
    <w:rsid w:val="00272DDE"/>
    <w:rsid w:val="00296A32"/>
    <w:rsid w:val="002A398A"/>
    <w:rsid w:val="002B7C8A"/>
    <w:rsid w:val="002C2AA8"/>
    <w:rsid w:val="002D0011"/>
    <w:rsid w:val="002D223B"/>
    <w:rsid w:val="002D7DB5"/>
    <w:rsid w:val="002E6023"/>
    <w:rsid w:val="002F2416"/>
    <w:rsid w:val="00300F5D"/>
    <w:rsid w:val="00301A8B"/>
    <w:rsid w:val="00306588"/>
    <w:rsid w:val="003073FA"/>
    <w:rsid w:val="003102AC"/>
    <w:rsid w:val="0032703D"/>
    <w:rsid w:val="003305B8"/>
    <w:rsid w:val="0034486D"/>
    <w:rsid w:val="00357E27"/>
    <w:rsid w:val="00372EDD"/>
    <w:rsid w:val="00380C79"/>
    <w:rsid w:val="003842AF"/>
    <w:rsid w:val="00386AB4"/>
    <w:rsid w:val="0039197C"/>
    <w:rsid w:val="003A034A"/>
    <w:rsid w:val="003A4722"/>
    <w:rsid w:val="003D0E38"/>
    <w:rsid w:val="003D5C98"/>
    <w:rsid w:val="003D6DFF"/>
    <w:rsid w:val="003E4D28"/>
    <w:rsid w:val="003E7D46"/>
    <w:rsid w:val="003F00D7"/>
    <w:rsid w:val="003F047F"/>
    <w:rsid w:val="003F4110"/>
    <w:rsid w:val="003F644C"/>
    <w:rsid w:val="00403DC2"/>
    <w:rsid w:val="004140DE"/>
    <w:rsid w:val="00415860"/>
    <w:rsid w:val="00433CBB"/>
    <w:rsid w:val="00437BED"/>
    <w:rsid w:val="00473C1E"/>
    <w:rsid w:val="00477DCA"/>
    <w:rsid w:val="00481D06"/>
    <w:rsid w:val="00484F4D"/>
    <w:rsid w:val="00486CC0"/>
    <w:rsid w:val="00490A59"/>
    <w:rsid w:val="004B4233"/>
    <w:rsid w:val="004C03AC"/>
    <w:rsid w:val="004C16CB"/>
    <w:rsid w:val="004C3A61"/>
    <w:rsid w:val="004E3AE1"/>
    <w:rsid w:val="004E7883"/>
    <w:rsid w:val="004E7C9F"/>
    <w:rsid w:val="004F042B"/>
    <w:rsid w:val="005125B0"/>
    <w:rsid w:val="00513B3F"/>
    <w:rsid w:val="0052292D"/>
    <w:rsid w:val="005263E4"/>
    <w:rsid w:val="00533385"/>
    <w:rsid w:val="00541F3D"/>
    <w:rsid w:val="00546842"/>
    <w:rsid w:val="0055624A"/>
    <w:rsid w:val="0056484C"/>
    <w:rsid w:val="0056751D"/>
    <w:rsid w:val="00574C8C"/>
    <w:rsid w:val="00581B34"/>
    <w:rsid w:val="00581B96"/>
    <w:rsid w:val="0058204E"/>
    <w:rsid w:val="005835D0"/>
    <w:rsid w:val="00583774"/>
    <w:rsid w:val="00587982"/>
    <w:rsid w:val="00597E8E"/>
    <w:rsid w:val="005A1694"/>
    <w:rsid w:val="005A37D9"/>
    <w:rsid w:val="005C3881"/>
    <w:rsid w:val="005C3DBD"/>
    <w:rsid w:val="005D1B20"/>
    <w:rsid w:val="005E14A1"/>
    <w:rsid w:val="005E1A0A"/>
    <w:rsid w:val="005E7B6A"/>
    <w:rsid w:val="005F3900"/>
    <w:rsid w:val="00603A56"/>
    <w:rsid w:val="00603EFC"/>
    <w:rsid w:val="0062094B"/>
    <w:rsid w:val="00620E0E"/>
    <w:rsid w:val="006210A1"/>
    <w:rsid w:val="0062203C"/>
    <w:rsid w:val="006666FE"/>
    <w:rsid w:val="00670944"/>
    <w:rsid w:val="006A5BFA"/>
    <w:rsid w:val="006B055C"/>
    <w:rsid w:val="006B68E6"/>
    <w:rsid w:val="006C1996"/>
    <w:rsid w:val="006D5267"/>
    <w:rsid w:val="006F4A07"/>
    <w:rsid w:val="006F6CD9"/>
    <w:rsid w:val="0070227B"/>
    <w:rsid w:val="00703A3F"/>
    <w:rsid w:val="00704292"/>
    <w:rsid w:val="007103A0"/>
    <w:rsid w:val="00711DCC"/>
    <w:rsid w:val="0071228C"/>
    <w:rsid w:val="00736FFA"/>
    <w:rsid w:val="00737A00"/>
    <w:rsid w:val="00744B2E"/>
    <w:rsid w:val="0075393A"/>
    <w:rsid w:val="007600E4"/>
    <w:rsid w:val="00767929"/>
    <w:rsid w:val="007771EA"/>
    <w:rsid w:val="00783A19"/>
    <w:rsid w:val="007922BC"/>
    <w:rsid w:val="00792D26"/>
    <w:rsid w:val="00794535"/>
    <w:rsid w:val="007A3091"/>
    <w:rsid w:val="007B5E6F"/>
    <w:rsid w:val="007C50C2"/>
    <w:rsid w:val="007E41C5"/>
    <w:rsid w:val="007E63C7"/>
    <w:rsid w:val="007F26F8"/>
    <w:rsid w:val="0080233B"/>
    <w:rsid w:val="0081145D"/>
    <w:rsid w:val="00811FF2"/>
    <w:rsid w:val="0081378A"/>
    <w:rsid w:val="008326AF"/>
    <w:rsid w:val="008360A8"/>
    <w:rsid w:val="008456FC"/>
    <w:rsid w:val="008559C8"/>
    <w:rsid w:val="00857269"/>
    <w:rsid w:val="00880894"/>
    <w:rsid w:val="00895D55"/>
    <w:rsid w:val="008A2EB5"/>
    <w:rsid w:val="008A481B"/>
    <w:rsid w:val="008B2D4A"/>
    <w:rsid w:val="008B35A1"/>
    <w:rsid w:val="008D7747"/>
    <w:rsid w:val="008E68A0"/>
    <w:rsid w:val="008F708F"/>
    <w:rsid w:val="00916378"/>
    <w:rsid w:val="00927FA8"/>
    <w:rsid w:val="00936580"/>
    <w:rsid w:val="00942D51"/>
    <w:rsid w:val="00950082"/>
    <w:rsid w:val="00951ABF"/>
    <w:rsid w:val="009551D1"/>
    <w:rsid w:val="00961024"/>
    <w:rsid w:val="00965E8A"/>
    <w:rsid w:val="00974154"/>
    <w:rsid w:val="00974968"/>
    <w:rsid w:val="009B288B"/>
    <w:rsid w:val="009B51F3"/>
    <w:rsid w:val="009E6DEC"/>
    <w:rsid w:val="009E6FAF"/>
    <w:rsid w:val="00A002C0"/>
    <w:rsid w:val="00A10AB2"/>
    <w:rsid w:val="00A11B21"/>
    <w:rsid w:val="00A11E5B"/>
    <w:rsid w:val="00A13F31"/>
    <w:rsid w:val="00A13FD6"/>
    <w:rsid w:val="00A14CEC"/>
    <w:rsid w:val="00A24D2A"/>
    <w:rsid w:val="00A337D2"/>
    <w:rsid w:val="00A830AE"/>
    <w:rsid w:val="00A8417A"/>
    <w:rsid w:val="00A85999"/>
    <w:rsid w:val="00A90ACA"/>
    <w:rsid w:val="00A91E97"/>
    <w:rsid w:val="00A97CC5"/>
    <w:rsid w:val="00AA2DFE"/>
    <w:rsid w:val="00AD22FA"/>
    <w:rsid w:val="00AD5DFB"/>
    <w:rsid w:val="00B21A03"/>
    <w:rsid w:val="00B21C11"/>
    <w:rsid w:val="00B32F1B"/>
    <w:rsid w:val="00B54964"/>
    <w:rsid w:val="00B55DFD"/>
    <w:rsid w:val="00B63613"/>
    <w:rsid w:val="00B65FA8"/>
    <w:rsid w:val="00B70C1A"/>
    <w:rsid w:val="00B70CC7"/>
    <w:rsid w:val="00B75183"/>
    <w:rsid w:val="00B764AE"/>
    <w:rsid w:val="00B85937"/>
    <w:rsid w:val="00B93286"/>
    <w:rsid w:val="00B954C7"/>
    <w:rsid w:val="00BA620C"/>
    <w:rsid w:val="00BB2693"/>
    <w:rsid w:val="00BB6CD5"/>
    <w:rsid w:val="00BC031C"/>
    <w:rsid w:val="00BC4ADC"/>
    <w:rsid w:val="00BE39B4"/>
    <w:rsid w:val="00BE6945"/>
    <w:rsid w:val="00C01430"/>
    <w:rsid w:val="00C269E4"/>
    <w:rsid w:val="00C33C6A"/>
    <w:rsid w:val="00C5092D"/>
    <w:rsid w:val="00C5171A"/>
    <w:rsid w:val="00C55E27"/>
    <w:rsid w:val="00C57682"/>
    <w:rsid w:val="00C603F9"/>
    <w:rsid w:val="00C60853"/>
    <w:rsid w:val="00C617F0"/>
    <w:rsid w:val="00C63FF9"/>
    <w:rsid w:val="00C730F4"/>
    <w:rsid w:val="00C97E9C"/>
    <w:rsid w:val="00CA15F4"/>
    <w:rsid w:val="00CA2394"/>
    <w:rsid w:val="00CA44A4"/>
    <w:rsid w:val="00CA4B8B"/>
    <w:rsid w:val="00CB1A53"/>
    <w:rsid w:val="00CB215B"/>
    <w:rsid w:val="00CB4361"/>
    <w:rsid w:val="00CB4B91"/>
    <w:rsid w:val="00CB5419"/>
    <w:rsid w:val="00CC4B9B"/>
    <w:rsid w:val="00CD234C"/>
    <w:rsid w:val="00CD555B"/>
    <w:rsid w:val="00CF13EB"/>
    <w:rsid w:val="00CF39D7"/>
    <w:rsid w:val="00CF7845"/>
    <w:rsid w:val="00D13427"/>
    <w:rsid w:val="00D31CDE"/>
    <w:rsid w:val="00D405AC"/>
    <w:rsid w:val="00D42E53"/>
    <w:rsid w:val="00D4357E"/>
    <w:rsid w:val="00D45A22"/>
    <w:rsid w:val="00D46FAB"/>
    <w:rsid w:val="00D47300"/>
    <w:rsid w:val="00D519E2"/>
    <w:rsid w:val="00D56357"/>
    <w:rsid w:val="00D57EE8"/>
    <w:rsid w:val="00D647C6"/>
    <w:rsid w:val="00D663CF"/>
    <w:rsid w:val="00D8303D"/>
    <w:rsid w:val="00D83BDA"/>
    <w:rsid w:val="00D85C0C"/>
    <w:rsid w:val="00DA0718"/>
    <w:rsid w:val="00DA60C4"/>
    <w:rsid w:val="00DA6978"/>
    <w:rsid w:val="00DC3F35"/>
    <w:rsid w:val="00E05E33"/>
    <w:rsid w:val="00E2024C"/>
    <w:rsid w:val="00E21BAA"/>
    <w:rsid w:val="00E30216"/>
    <w:rsid w:val="00E3307A"/>
    <w:rsid w:val="00E40EF7"/>
    <w:rsid w:val="00E47277"/>
    <w:rsid w:val="00E74A92"/>
    <w:rsid w:val="00E75120"/>
    <w:rsid w:val="00E765BC"/>
    <w:rsid w:val="00E82303"/>
    <w:rsid w:val="00E91EC7"/>
    <w:rsid w:val="00E95E47"/>
    <w:rsid w:val="00E967A6"/>
    <w:rsid w:val="00EA5050"/>
    <w:rsid w:val="00EA5C11"/>
    <w:rsid w:val="00EB0DEA"/>
    <w:rsid w:val="00EC7D5B"/>
    <w:rsid w:val="00ED15DF"/>
    <w:rsid w:val="00ED2E64"/>
    <w:rsid w:val="00EE446C"/>
    <w:rsid w:val="00EE781D"/>
    <w:rsid w:val="00EF5D0A"/>
    <w:rsid w:val="00EF5DF7"/>
    <w:rsid w:val="00EF71BB"/>
    <w:rsid w:val="00F066DD"/>
    <w:rsid w:val="00F3233D"/>
    <w:rsid w:val="00F421DE"/>
    <w:rsid w:val="00F43B7B"/>
    <w:rsid w:val="00F50BF9"/>
    <w:rsid w:val="00F54CE5"/>
    <w:rsid w:val="00F5589A"/>
    <w:rsid w:val="00F64510"/>
    <w:rsid w:val="00F9364A"/>
    <w:rsid w:val="00FA44C4"/>
    <w:rsid w:val="00FB50B2"/>
    <w:rsid w:val="00FD4009"/>
    <w:rsid w:val="00FD4B44"/>
    <w:rsid w:val="00FF3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1B20"/>
    <w:rPr>
      <w:sz w:val="16"/>
      <w:szCs w:val="16"/>
    </w:rPr>
  </w:style>
  <w:style w:type="paragraph" w:styleId="CommentText">
    <w:name w:val="annotation text"/>
    <w:basedOn w:val="Normal"/>
    <w:link w:val="CommentTextChar"/>
    <w:uiPriority w:val="99"/>
    <w:semiHidden/>
    <w:unhideWhenUsed/>
    <w:rsid w:val="005D1B20"/>
    <w:rPr>
      <w:sz w:val="20"/>
      <w:szCs w:val="20"/>
    </w:rPr>
  </w:style>
  <w:style w:type="character" w:customStyle="1" w:styleId="CommentTextChar">
    <w:name w:val="Comment Text Char"/>
    <w:basedOn w:val="DefaultParagraphFont"/>
    <w:link w:val="CommentText"/>
    <w:uiPriority w:val="99"/>
    <w:semiHidden/>
    <w:rsid w:val="005D1B20"/>
    <w:rPr>
      <w:sz w:val="20"/>
      <w:szCs w:val="20"/>
    </w:rPr>
  </w:style>
  <w:style w:type="paragraph" w:styleId="CommentSubject">
    <w:name w:val="annotation subject"/>
    <w:basedOn w:val="CommentText"/>
    <w:next w:val="CommentText"/>
    <w:link w:val="CommentSubjectChar"/>
    <w:uiPriority w:val="99"/>
    <w:semiHidden/>
    <w:unhideWhenUsed/>
    <w:rsid w:val="005D1B20"/>
    <w:rPr>
      <w:b/>
      <w:bCs/>
    </w:rPr>
  </w:style>
  <w:style w:type="character" w:customStyle="1" w:styleId="CommentSubjectChar">
    <w:name w:val="Comment Subject Char"/>
    <w:basedOn w:val="CommentTextChar"/>
    <w:link w:val="CommentSubject"/>
    <w:uiPriority w:val="99"/>
    <w:semiHidden/>
    <w:rsid w:val="005D1B20"/>
    <w:rPr>
      <w:b/>
      <w:bCs/>
      <w:sz w:val="20"/>
      <w:szCs w:val="20"/>
    </w:rPr>
  </w:style>
  <w:style w:type="paragraph" w:styleId="BalloonText">
    <w:name w:val="Balloon Text"/>
    <w:basedOn w:val="Normal"/>
    <w:link w:val="BalloonTextChar"/>
    <w:uiPriority w:val="99"/>
    <w:semiHidden/>
    <w:unhideWhenUsed/>
    <w:rsid w:val="005D1B2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20"/>
    <w:rPr>
      <w:rFonts w:ascii="Segoe UI" w:hAnsi="Segoe UI" w:cs="Segoe UI"/>
      <w:sz w:val="18"/>
      <w:szCs w:val="18"/>
    </w:rPr>
  </w:style>
  <w:style w:type="paragraph" w:styleId="EndnoteText">
    <w:name w:val="endnote text"/>
    <w:basedOn w:val="Normal"/>
    <w:link w:val="EndnoteTextChar"/>
    <w:uiPriority w:val="99"/>
    <w:semiHidden/>
    <w:unhideWhenUsed/>
    <w:rsid w:val="00BC4ADC"/>
    <w:pPr>
      <w:spacing w:before="0" w:after="0"/>
    </w:pPr>
    <w:rPr>
      <w:sz w:val="20"/>
      <w:szCs w:val="20"/>
    </w:rPr>
  </w:style>
  <w:style w:type="character" w:customStyle="1" w:styleId="EndnoteTextChar">
    <w:name w:val="Endnote Text Char"/>
    <w:basedOn w:val="DefaultParagraphFont"/>
    <w:link w:val="EndnoteText"/>
    <w:uiPriority w:val="99"/>
    <w:semiHidden/>
    <w:rsid w:val="00BC4ADC"/>
    <w:rPr>
      <w:sz w:val="20"/>
      <w:szCs w:val="20"/>
    </w:rPr>
  </w:style>
  <w:style w:type="character" w:styleId="EndnoteReference">
    <w:name w:val="endnote reference"/>
    <w:basedOn w:val="DefaultParagraphFont"/>
    <w:uiPriority w:val="99"/>
    <w:semiHidden/>
    <w:unhideWhenUsed/>
    <w:rsid w:val="00BC4ADC"/>
    <w:rPr>
      <w:vertAlign w:val="superscript"/>
    </w:rPr>
  </w:style>
  <w:style w:type="paragraph" w:styleId="FootnoteText">
    <w:name w:val="footnote text"/>
    <w:basedOn w:val="Normal"/>
    <w:link w:val="FootnoteTextChar"/>
    <w:uiPriority w:val="99"/>
    <w:semiHidden/>
    <w:unhideWhenUsed/>
    <w:rsid w:val="00BC4ADC"/>
    <w:pPr>
      <w:spacing w:before="0" w:after="0"/>
    </w:pPr>
    <w:rPr>
      <w:sz w:val="20"/>
      <w:szCs w:val="20"/>
    </w:rPr>
  </w:style>
  <w:style w:type="character" w:customStyle="1" w:styleId="FootnoteTextChar">
    <w:name w:val="Footnote Text Char"/>
    <w:basedOn w:val="DefaultParagraphFont"/>
    <w:link w:val="FootnoteText"/>
    <w:uiPriority w:val="99"/>
    <w:semiHidden/>
    <w:rsid w:val="00BC4ADC"/>
    <w:rPr>
      <w:sz w:val="20"/>
      <w:szCs w:val="20"/>
    </w:rPr>
  </w:style>
  <w:style w:type="character" w:styleId="FootnoteReference">
    <w:name w:val="footnote reference"/>
    <w:basedOn w:val="DefaultParagraphFont"/>
    <w:uiPriority w:val="99"/>
    <w:semiHidden/>
    <w:unhideWhenUsed/>
    <w:rsid w:val="00BC4ADC"/>
    <w:rPr>
      <w:vertAlign w:val="superscript"/>
    </w:rPr>
  </w:style>
  <w:style w:type="paragraph" w:styleId="ListParagraph">
    <w:name w:val="List Paragraph"/>
    <w:basedOn w:val="Normal"/>
    <w:uiPriority w:val="34"/>
    <w:qFormat/>
    <w:rsid w:val="00BC4ADC"/>
    <w:pPr>
      <w:ind w:left="720"/>
      <w:contextualSpacing/>
    </w:pPr>
  </w:style>
  <w:style w:type="paragraph" w:styleId="Header">
    <w:name w:val="header"/>
    <w:basedOn w:val="Normal"/>
    <w:link w:val="HeaderChar"/>
    <w:uiPriority w:val="99"/>
    <w:unhideWhenUsed/>
    <w:rsid w:val="005E14A1"/>
    <w:pPr>
      <w:tabs>
        <w:tab w:val="center" w:pos="4680"/>
        <w:tab w:val="right" w:pos="9360"/>
      </w:tabs>
      <w:spacing w:before="0" w:after="0"/>
    </w:pPr>
  </w:style>
  <w:style w:type="character" w:customStyle="1" w:styleId="HeaderChar">
    <w:name w:val="Header Char"/>
    <w:basedOn w:val="DefaultParagraphFont"/>
    <w:link w:val="Header"/>
    <w:uiPriority w:val="99"/>
    <w:rsid w:val="005E14A1"/>
  </w:style>
  <w:style w:type="paragraph" w:styleId="Footer">
    <w:name w:val="footer"/>
    <w:basedOn w:val="Normal"/>
    <w:link w:val="FooterChar"/>
    <w:uiPriority w:val="99"/>
    <w:unhideWhenUsed/>
    <w:rsid w:val="005E14A1"/>
    <w:pPr>
      <w:tabs>
        <w:tab w:val="center" w:pos="4680"/>
        <w:tab w:val="right" w:pos="9360"/>
      </w:tabs>
      <w:spacing w:before="0" w:after="0"/>
    </w:pPr>
  </w:style>
  <w:style w:type="character" w:customStyle="1" w:styleId="FooterChar">
    <w:name w:val="Footer Char"/>
    <w:basedOn w:val="DefaultParagraphFont"/>
    <w:link w:val="Footer"/>
    <w:uiPriority w:val="99"/>
    <w:rsid w:val="005E14A1"/>
  </w:style>
  <w:style w:type="character" w:customStyle="1" w:styleId="fontstyle01">
    <w:name w:val="fontstyle01"/>
    <w:basedOn w:val="DefaultParagraphFont"/>
    <w:rsid w:val="008F708F"/>
    <w:rPr>
      <w:rFonts w:ascii="NewAster-Bold" w:hAnsi="NewAster-Bold" w:hint="default"/>
      <w:b/>
      <w:bCs/>
      <w:i w:val="0"/>
      <w:iCs w:val="0"/>
      <w:color w:val="000000"/>
      <w:sz w:val="20"/>
      <w:szCs w:val="20"/>
    </w:rPr>
  </w:style>
  <w:style w:type="character" w:styleId="Hyperlink">
    <w:name w:val="Hyperlink"/>
    <w:basedOn w:val="DefaultParagraphFont"/>
    <w:uiPriority w:val="99"/>
    <w:unhideWhenUsed/>
    <w:rsid w:val="00151349"/>
    <w:rPr>
      <w:color w:val="0000FF"/>
      <w:u w:val="single"/>
    </w:rPr>
  </w:style>
  <w:style w:type="character" w:customStyle="1" w:styleId="UnresolvedMention">
    <w:name w:val="Unresolved Mention"/>
    <w:basedOn w:val="DefaultParagraphFont"/>
    <w:uiPriority w:val="99"/>
    <w:semiHidden/>
    <w:unhideWhenUsed/>
    <w:rsid w:val="009B28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608C-9320-43AD-AF9E-069A7A09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9</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Med</dc:creator>
  <cp:keywords/>
  <dc:description/>
  <cp:lastModifiedBy>Admin</cp:lastModifiedBy>
  <cp:revision>322</cp:revision>
  <dcterms:created xsi:type="dcterms:W3CDTF">2019-03-20T03:31:00Z</dcterms:created>
  <dcterms:modified xsi:type="dcterms:W3CDTF">2019-09-24T09:14:00Z</dcterms:modified>
</cp:coreProperties>
</file>